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黑体" w:hAnsi="黑体" w:eastAsia="黑体" w:cs="方正小标宋_GBK"/>
          <w:sz w:val="48"/>
          <w:szCs w:val="48"/>
        </w:rPr>
      </w:pPr>
      <w:bookmarkStart w:id="0" w:name="_Hlk54875848"/>
      <w:bookmarkEnd w:id="0"/>
    </w:p>
    <w:p>
      <w:pPr>
        <w:spacing w:line="580" w:lineRule="exact"/>
        <w:jc w:val="center"/>
        <w:rPr>
          <w:rFonts w:ascii="黑体" w:hAnsi="黑体" w:eastAsia="黑体" w:cs="方正小标宋_GBK"/>
          <w:sz w:val="48"/>
          <w:szCs w:val="48"/>
        </w:rPr>
      </w:pPr>
    </w:p>
    <w:p>
      <w:pPr>
        <w:spacing w:line="580" w:lineRule="exact"/>
        <w:jc w:val="center"/>
        <w:rPr>
          <w:rFonts w:ascii="黑体" w:hAnsi="黑体" w:eastAsia="黑体" w:cs="方正小标宋_GBK"/>
          <w:sz w:val="48"/>
          <w:szCs w:val="48"/>
        </w:rPr>
      </w:pPr>
    </w:p>
    <w:p>
      <w:pPr>
        <w:spacing w:line="580" w:lineRule="exact"/>
        <w:jc w:val="center"/>
        <w:rPr>
          <w:rFonts w:ascii="黑体" w:hAnsi="黑体" w:eastAsia="黑体" w:cs="方正小标宋_GBK"/>
          <w:sz w:val="48"/>
          <w:szCs w:val="48"/>
        </w:rPr>
      </w:pPr>
    </w:p>
    <w:p>
      <w:pPr>
        <w:spacing w:line="360" w:lineRule="auto"/>
        <w:jc w:val="center"/>
        <w:rPr>
          <w:rFonts w:ascii="仿宋" w:hAnsi="仿宋" w:eastAsia="仿宋" w:cs="方正小标宋_GBK"/>
          <w:b/>
          <w:bCs/>
          <w:sz w:val="56"/>
          <w:szCs w:val="56"/>
        </w:rPr>
      </w:pPr>
      <w:r>
        <w:rPr>
          <w:rFonts w:hint="eastAsia" w:ascii="仿宋" w:hAnsi="仿宋" w:eastAsia="仿宋" w:cs="方正小标宋_GBK"/>
          <w:b/>
          <w:bCs/>
          <w:sz w:val="56"/>
          <w:szCs w:val="56"/>
        </w:rPr>
        <w:t>焦作市“十四五”民政事业发展规划</w:t>
      </w:r>
    </w:p>
    <w:p>
      <w:pPr>
        <w:spacing w:line="360" w:lineRule="auto"/>
        <w:jc w:val="center"/>
        <w:rPr>
          <w:rFonts w:ascii="仿宋" w:hAnsi="仿宋" w:eastAsia="仿宋" w:cs="方正小标宋_GBK"/>
          <w:b/>
          <w:bCs/>
          <w:sz w:val="56"/>
          <w:szCs w:val="56"/>
        </w:rPr>
      </w:pPr>
      <w:r>
        <w:rPr>
          <w:rFonts w:hint="eastAsia" w:ascii="仿宋" w:hAnsi="仿宋" w:eastAsia="仿宋" w:cs="方正小标宋_GBK"/>
          <w:b/>
          <w:bCs/>
          <w:sz w:val="56"/>
          <w:szCs w:val="56"/>
        </w:rPr>
        <w:t>（2</w:t>
      </w:r>
      <w:r>
        <w:rPr>
          <w:rFonts w:ascii="仿宋" w:hAnsi="仿宋" w:eastAsia="仿宋" w:cs="方正小标宋_GBK"/>
          <w:b/>
          <w:bCs/>
          <w:sz w:val="56"/>
          <w:szCs w:val="56"/>
        </w:rPr>
        <w:t>021-2025</w:t>
      </w:r>
      <w:r>
        <w:rPr>
          <w:rFonts w:hint="eastAsia" w:ascii="仿宋" w:hAnsi="仿宋" w:eastAsia="仿宋" w:cs="方正小标宋_GBK"/>
          <w:b/>
          <w:bCs/>
          <w:sz w:val="56"/>
          <w:szCs w:val="56"/>
        </w:rPr>
        <w:t>）</w:t>
      </w:r>
    </w:p>
    <w:p>
      <w:pPr>
        <w:widowControl/>
        <w:jc w:val="center"/>
        <w:rPr>
          <w:rFonts w:ascii="黑体" w:hAnsi="黑体" w:eastAsia="黑体" w:cs="方正小标宋_GBK"/>
          <w:sz w:val="48"/>
          <w:szCs w:val="48"/>
        </w:rPr>
      </w:pPr>
    </w:p>
    <w:p>
      <w:pPr>
        <w:widowControl/>
        <w:jc w:val="center"/>
        <w:rPr>
          <w:rFonts w:ascii="黑体" w:hAnsi="黑体" w:eastAsia="黑体" w:cs="方正小标宋_GBK"/>
          <w:sz w:val="48"/>
          <w:szCs w:val="48"/>
        </w:rPr>
      </w:pPr>
    </w:p>
    <w:p>
      <w:pPr>
        <w:widowControl/>
        <w:jc w:val="center"/>
        <w:rPr>
          <w:rFonts w:ascii="黑体" w:hAnsi="黑体" w:eastAsia="黑体" w:cs="方正小标宋_GBK"/>
          <w:sz w:val="48"/>
          <w:szCs w:val="48"/>
        </w:rPr>
      </w:pPr>
    </w:p>
    <w:p>
      <w:pPr>
        <w:widowControl/>
        <w:jc w:val="center"/>
        <w:rPr>
          <w:rFonts w:ascii="黑体" w:hAnsi="黑体" w:eastAsia="黑体" w:cs="方正小标宋_GBK"/>
          <w:sz w:val="48"/>
          <w:szCs w:val="48"/>
        </w:rPr>
      </w:pPr>
    </w:p>
    <w:p>
      <w:pPr>
        <w:widowControl/>
        <w:jc w:val="center"/>
        <w:rPr>
          <w:rFonts w:ascii="黑体" w:hAnsi="黑体" w:eastAsia="黑体" w:cs="方正小标宋_GBK"/>
          <w:sz w:val="48"/>
          <w:szCs w:val="48"/>
        </w:rPr>
      </w:pPr>
    </w:p>
    <w:p>
      <w:pPr>
        <w:widowControl/>
        <w:jc w:val="center"/>
        <w:rPr>
          <w:rFonts w:ascii="黑体" w:hAnsi="黑体" w:eastAsia="黑体" w:cs="方正小标宋_GBK"/>
          <w:sz w:val="48"/>
          <w:szCs w:val="48"/>
        </w:rPr>
      </w:pPr>
    </w:p>
    <w:p>
      <w:pPr>
        <w:widowControl/>
        <w:jc w:val="center"/>
        <w:rPr>
          <w:rFonts w:ascii="黑体" w:hAnsi="黑体" w:eastAsia="黑体" w:cs="方正小标宋_GBK"/>
          <w:sz w:val="48"/>
          <w:szCs w:val="48"/>
        </w:rPr>
      </w:pPr>
    </w:p>
    <w:p>
      <w:pPr>
        <w:widowControl/>
        <w:jc w:val="center"/>
        <w:rPr>
          <w:rFonts w:ascii="黑体" w:hAnsi="黑体" w:eastAsia="黑体" w:cs="方正小标宋_GBK"/>
          <w:sz w:val="48"/>
          <w:szCs w:val="48"/>
        </w:rPr>
      </w:pPr>
    </w:p>
    <w:p>
      <w:pPr>
        <w:widowControl/>
        <w:jc w:val="center"/>
        <w:rPr>
          <w:rFonts w:ascii="黑体" w:hAnsi="黑体" w:eastAsia="黑体" w:cs="方正小标宋_GBK"/>
          <w:sz w:val="48"/>
          <w:szCs w:val="48"/>
        </w:rPr>
      </w:pPr>
    </w:p>
    <w:p>
      <w:pPr>
        <w:widowControl/>
        <w:jc w:val="center"/>
        <w:rPr>
          <w:rFonts w:ascii="仿宋" w:hAnsi="仿宋" w:eastAsia="仿宋" w:cs="方正小标宋_GBK"/>
          <w:sz w:val="36"/>
          <w:szCs w:val="36"/>
        </w:rPr>
      </w:pPr>
      <w:r>
        <w:rPr>
          <w:rFonts w:hint="eastAsia" w:ascii="仿宋" w:hAnsi="仿宋" w:eastAsia="仿宋" w:cs="方正小标宋_GBK"/>
          <w:sz w:val="36"/>
          <w:szCs w:val="36"/>
        </w:rPr>
        <w:t>焦作市民政局</w:t>
      </w:r>
    </w:p>
    <w:p>
      <w:pPr>
        <w:widowControl/>
        <w:jc w:val="center"/>
        <w:rPr>
          <w:rFonts w:ascii="仿宋" w:hAnsi="仿宋" w:eastAsia="仿宋" w:cs="方正小标宋_GBK"/>
          <w:sz w:val="36"/>
          <w:szCs w:val="36"/>
        </w:rPr>
      </w:pPr>
      <w:r>
        <w:rPr>
          <w:rFonts w:hint="eastAsia" w:ascii="仿宋" w:hAnsi="仿宋" w:eastAsia="仿宋" w:cs="方正小标宋_GBK"/>
          <w:sz w:val="36"/>
          <w:szCs w:val="36"/>
        </w:rPr>
        <w:t>河南省中纬测绘规划信息工程有限公司</w:t>
      </w:r>
    </w:p>
    <w:p>
      <w:pPr>
        <w:spacing w:line="480" w:lineRule="atLeast"/>
        <w:jc w:val="center"/>
        <w:rPr>
          <w:sz w:val="36"/>
          <w:szCs w:val="32"/>
        </w:rPr>
        <w:sectPr>
          <w:footerReference r:id="rId3" w:type="default"/>
          <w:pgSz w:w="23811" w:h="16838" w:orient="landscape"/>
          <w:pgMar w:top="1587" w:right="2098" w:bottom="1474" w:left="1984" w:header="851" w:footer="992" w:gutter="0"/>
          <w:pgNumType w:start="1"/>
          <w:cols w:space="720" w:num="1"/>
          <w:docGrid w:type="lines" w:linePitch="312" w:charSpace="0"/>
        </w:sectPr>
      </w:pPr>
      <w:r>
        <w:rPr>
          <w:rFonts w:hint="eastAsia"/>
          <w:sz w:val="36"/>
          <w:szCs w:val="32"/>
        </w:rPr>
        <w:t>二〇二一年八月</w:t>
      </w:r>
    </w:p>
    <w:p>
      <w:pPr>
        <w:jc w:val="left"/>
        <w:rPr>
          <w:b/>
          <w:color w:val="000000"/>
          <w:sz w:val="52"/>
          <w:szCs w:val="52"/>
        </w:rPr>
      </w:pPr>
      <w:r>
        <w:rPr>
          <w:rFonts w:ascii="仿宋" w:hAnsi="仿宋" w:eastAsia="仿宋" w:cs="方正小标宋_GBK"/>
          <w:sz w:val="36"/>
          <w:szCs w:val="36"/>
        </w:rPr>
        <w:t xml:space="preserve"> </w:t>
      </w:r>
      <w:r>
        <w:rPr>
          <w:rFonts w:ascii="Times New Roman" w:hAnsi="Times New Roman" w:cs="宋体"/>
          <w:b/>
          <w:color w:val="000000"/>
          <w:sz w:val="52"/>
          <w:szCs w:val="52"/>
          <w:lang w:bidi="ar"/>
        </w:rPr>
        <w:drawing>
          <wp:anchor distT="0" distB="0" distL="114300" distR="114300" simplePos="0" relativeHeight="251660288" behindDoc="1" locked="0" layoutInCell="1" allowOverlap="1">
            <wp:simplePos x="0" y="0"/>
            <wp:positionH relativeFrom="column">
              <wp:posOffset>6833235</wp:posOffset>
            </wp:positionH>
            <wp:positionV relativeFrom="paragraph">
              <wp:posOffset>-65405</wp:posOffset>
            </wp:positionV>
            <wp:extent cx="5539105" cy="4023995"/>
            <wp:effectExtent l="0" t="0" r="4445" b="0"/>
            <wp:wrapNone/>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l="5164" t="2353" r="3964" b="4831"/>
                    <a:stretch>
                      <a:fillRect/>
                    </a:stretch>
                  </pic:blipFill>
                  <pic:spPr>
                    <a:xfrm>
                      <a:off x="0" y="0"/>
                      <a:ext cx="5539105" cy="4023995"/>
                    </a:xfrm>
                    <a:prstGeom prst="rect">
                      <a:avLst/>
                    </a:prstGeom>
                    <a:noFill/>
                    <a:ln>
                      <a:noFill/>
                    </a:ln>
                  </pic:spPr>
                </pic:pic>
              </a:graphicData>
            </a:graphic>
          </wp:anchor>
        </w:drawing>
      </w:r>
      <w:r>
        <w:rPr>
          <w:rFonts w:hint="eastAsia" w:ascii="Times New Roman" w:hAnsi="Times New Roman" w:cs="宋体"/>
          <w:b/>
          <w:color w:val="000000"/>
          <w:sz w:val="52"/>
          <w:szCs w:val="52"/>
          <w:lang w:bidi="ar"/>
        </w:rPr>
        <w:t>焦作市“十四五”民政事业发展规划</w:t>
      </w:r>
    </w:p>
    <w:p>
      <w:pPr>
        <w:rPr>
          <w:color w:val="000000"/>
          <w:sz w:val="30"/>
          <w:szCs w:val="30"/>
        </w:rPr>
      </w:pP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w:t>
      </w:r>
      <w:r>
        <w:rPr>
          <w:rFonts w:ascii="Times New Roman" w:hAnsi="Times New Roman"/>
          <w:color w:val="000000"/>
          <w:sz w:val="30"/>
          <w:szCs w:val="30"/>
          <w:lang w:bidi="ar"/>
        </w:rPr>
        <w:t>20</w:t>
      </w:r>
      <w:r>
        <w:rPr>
          <w:rFonts w:hint="eastAsia" w:ascii="Times New Roman" w:hAnsi="Times New Roman"/>
          <w:color w:val="000000"/>
          <w:sz w:val="30"/>
          <w:szCs w:val="30"/>
          <w:lang w:bidi="ar"/>
        </w:rPr>
        <w:t>2</w:t>
      </w:r>
      <w:r>
        <w:rPr>
          <w:rFonts w:ascii="Times New Roman" w:hAnsi="Times New Roman"/>
          <w:color w:val="000000"/>
          <w:sz w:val="30"/>
          <w:szCs w:val="30"/>
          <w:lang w:bidi="ar"/>
        </w:rPr>
        <w:t>1-2025</w:t>
      </w:r>
      <w:r>
        <w:rPr>
          <w:rFonts w:hint="eastAsia" w:ascii="Times New Roman" w:hAnsi="Times New Roman" w:cs="宋体"/>
          <w:color w:val="000000"/>
          <w:sz w:val="30"/>
          <w:szCs w:val="30"/>
          <w:lang w:bidi="ar"/>
        </w:rPr>
        <w:t>年）</w:t>
      </w:r>
    </w:p>
    <w:p>
      <w:pPr>
        <w:rPr>
          <w:color w:val="000000"/>
          <w:sz w:val="30"/>
          <w:szCs w:val="30"/>
        </w:rPr>
      </w:pPr>
    </w:p>
    <w:p>
      <w:pPr>
        <w:spacing w:line="800" w:lineRule="exact"/>
        <w:rPr>
          <w:rFonts w:ascii="Times New Roman" w:hAnsi="Times New Roman" w:cs="宋体"/>
          <w:color w:val="000000"/>
          <w:sz w:val="30"/>
          <w:szCs w:val="30"/>
          <w:lang w:bidi="ar"/>
        </w:rPr>
      </w:pPr>
      <w:r>
        <w:rPr>
          <w:rFonts w:hint="eastAsia" w:ascii="Times New Roman" w:hAnsi="Times New Roman" w:cs="宋体"/>
          <w:color w:val="000000"/>
          <w:sz w:val="30"/>
          <w:szCs w:val="30"/>
          <w:lang w:bidi="ar"/>
        </w:rPr>
        <w:t>委</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托</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单</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位：</w:t>
      </w:r>
      <w:r>
        <w:rPr>
          <w:rFonts w:ascii="Times New Roman" w:hAnsi="Times New Roman"/>
          <w:color w:val="000000"/>
          <w:sz w:val="30"/>
          <w:szCs w:val="30"/>
          <w:lang w:bidi="ar"/>
        </w:rPr>
        <w:t xml:space="preserve"> </w:t>
      </w:r>
      <w:r>
        <w:rPr>
          <w:rFonts w:hint="eastAsia" w:ascii="Times New Roman" w:hAnsi="Times New Roman"/>
          <w:color w:val="000000"/>
          <w:sz w:val="30"/>
          <w:szCs w:val="30"/>
          <w:lang w:bidi="ar"/>
        </w:rPr>
        <w:t>焦作市民政局</w:t>
      </w:r>
    </w:p>
    <w:p>
      <w:pPr>
        <w:spacing w:line="800" w:lineRule="exact"/>
        <w:rPr>
          <w:color w:val="000000"/>
          <w:sz w:val="30"/>
          <w:szCs w:val="30"/>
        </w:rPr>
      </w:pPr>
      <w:r>
        <w:rPr>
          <w:rFonts w:hint="eastAsia" w:ascii="Times New Roman" w:hAnsi="Times New Roman" w:cs="宋体"/>
          <w:color w:val="000000"/>
          <w:sz w:val="30"/>
          <w:szCs w:val="30"/>
          <w:lang w:bidi="ar"/>
        </w:rPr>
        <w:t>编</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制</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单</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位：</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河南省中纬测绘规划信息工程有限公司</w:t>
      </w:r>
    </w:p>
    <w:p>
      <w:pPr>
        <w:spacing w:line="800" w:lineRule="exact"/>
        <w:rPr>
          <w:color w:val="000000"/>
          <w:sz w:val="30"/>
          <w:szCs w:val="30"/>
        </w:rPr>
      </w:pPr>
      <w:r>
        <w:rPr>
          <w:rFonts w:hint="eastAsia" w:ascii="Times New Roman" w:hAnsi="Times New Roman" w:cs="宋体"/>
          <w:color w:val="000000"/>
          <w:sz w:val="30"/>
          <w:szCs w:val="30"/>
          <w:lang w:bidi="ar"/>
        </w:rPr>
        <w:t>项</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目</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顾</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 xml:space="preserve">问： 刘学杰 </w:t>
      </w:r>
      <w:r>
        <w:rPr>
          <w:rFonts w:ascii="Times New Roman" w:hAnsi="Times New Roman" w:cs="宋体"/>
          <w:color w:val="000000"/>
          <w:sz w:val="30"/>
          <w:szCs w:val="30"/>
          <w:lang w:bidi="ar"/>
        </w:rPr>
        <w:t xml:space="preserve"> </w:t>
      </w:r>
      <w:r>
        <w:rPr>
          <w:rFonts w:hint="eastAsia" w:ascii="Times New Roman" w:hAnsi="Times New Roman"/>
          <w:color w:val="000000"/>
          <w:sz w:val="30"/>
          <w:szCs w:val="30"/>
          <w:lang w:bidi="ar"/>
        </w:rPr>
        <w:t xml:space="preserve">庞 </w:t>
      </w:r>
      <w:r>
        <w:rPr>
          <w:rFonts w:ascii="Times New Roman" w:hAnsi="Times New Roman"/>
          <w:color w:val="000000"/>
          <w:sz w:val="30"/>
          <w:szCs w:val="30"/>
          <w:lang w:bidi="ar"/>
        </w:rPr>
        <w:t xml:space="preserve"> </w:t>
      </w:r>
      <w:r>
        <w:rPr>
          <w:rFonts w:hint="eastAsia" w:ascii="Times New Roman" w:hAnsi="Times New Roman"/>
          <w:color w:val="000000"/>
          <w:sz w:val="30"/>
          <w:szCs w:val="30"/>
          <w:lang w:bidi="ar"/>
        </w:rPr>
        <w:t xml:space="preserve">超  </w:t>
      </w:r>
    </w:p>
    <w:p>
      <w:pPr>
        <w:spacing w:line="800" w:lineRule="exact"/>
        <w:rPr>
          <w:rFonts w:ascii="Times New Roman" w:hAnsi="Times New Roman" w:cs="宋体"/>
          <w:color w:val="000000"/>
          <w:sz w:val="30"/>
          <w:szCs w:val="30"/>
          <w:lang w:bidi="ar"/>
        </w:rPr>
      </w:pPr>
      <w:r>
        <w:rPr>
          <w:rFonts w:hint="eastAsia" w:ascii="Times New Roman" w:hAnsi="Times New Roman" w:cs="宋体"/>
          <w:color w:val="000000"/>
          <w:kern w:val="0"/>
          <w:sz w:val="30"/>
          <w:szCs w:val="30"/>
          <w:lang w:bidi="ar"/>
        </w:rPr>
        <w:t>项</w:t>
      </w:r>
      <w:r>
        <w:rPr>
          <w:rFonts w:ascii="Times New Roman" w:hAnsi="Times New Roman"/>
          <w:color w:val="000000"/>
          <w:kern w:val="0"/>
          <w:sz w:val="30"/>
          <w:szCs w:val="30"/>
          <w:lang w:bidi="ar"/>
        </w:rPr>
        <w:t xml:space="preserve"> </w:t>
      </w:r>
      <w:r>
        <w:rPr>
          <w:rFonts w:hint="eastAsia" w:ascii="Times New Roman" w:hAnsi="Times New Roman" w:cs="宋体"/>
          <w:color w:val="000000"/>
          <w:kern w:val="0"/>
          <w:sz w:val="30"/>
          <w:szCs w:val="30"/>
          <w:lang w:bidi="ar"/>
        </w:rPr>
        <w:t>目</w:t>
      </w:r>
      <w:r>
        <w:rPr>
          <w:rFonts w:ascii="Times New Roman" w:hAnsi="Times New Roman"/>
          <w:color w:val="000000"/>
          <w:kern w:val="0"/>
          <w:sz w:val="30"/>
          <w:szCs w:val="30"/>
          <w:lang w:bidi="ar"/>
        </w:rPr>
        <w:t xml:space="preserve"> </w:t>
      </w:r>
      <w:r>
        <w:rPr>
          <w:rFonts w:hint="eastAsia" w:ascii="Times New Roman" w:hAnsi="Times New Roman" w:cs="宋体"/>
          <w:color w:val="000000"/>
          <w:kern w:val="0"/>
          <w:sz w:val="30"/>
          <w:szCs w:val="30"/>
          <w:lang w:bidi="ar"/>
        </w:rPr>
        <w:t>负</w:t>
      </w:r>
      <w:r>
        <w:rPr>
          <w:rFonts w:ascii="Times New Roman" w:hAnsi="Times New Roman"/>
          <w:color w:val="000000"/>
          <w:kern w:val="0"/>
          <w:sz w:val="30"/>
          <w:szCs w:val="30"/>
          <w:lang w:bidi="ar"/>
        </w:rPr>
        <w:t xml:space="preserve"> </w:t>
      </w:r>
      <w:r>
        <w:rPr>
          <w:rFonts w:hint="eastAsia" w:ascii="Times New Roman" w:hAnsi="Times New Roman" w:cs="宋体"/>
          <w:color w:val="000000"/>
          <w:kern w:val="0"/>
          <w:sz w:val="30"/>
          <w:szCs w:val="30"/>
          <w:lang w:bidi="ar"/>
        </w:rPr>
        <w:t>责</w:t>
      </w:r>
      <w:r>
        <w:rPr>
          <w:rFonts w:ascii="Times New Roman" w:hAnsi="Times New Roman"/>
          <w:color w:val="000000"/>
          <w:kern w:val="0"/>
          <w:sz w:val="30"/>
          <w:szCs w:val="30"/>
          <w:lang w:bidi="ar"/>
        </w:rPr>
        <w:t xml:space="preserve"> </w:t>
      </w:r>
      <w:r>
        <w:rPr>
          <w:rFonts w:hint="eastAsia" w:ascii="Times New Roman" w:hAnsi="Times New Roman" w:cs="宋体"/>
          <w:color w:val="000000"/>
          <w:kern w:val="0"/>
          <w:sz w:val="30"/>
          <w:szCs w:val="30"/>
          <w:lang w:bidi="ar"/>
        </w:rPr>
        <w:t>人</w:t>
      </w:r>
      <w:r>
        <w:rPr>
          <w:rFonts w:hint="eastAsia" w:ascii="Times New Roman" w:hAnsi="Times New Roman" w:cs="宋体"/>
          <w:color w:val="000000"/>
          <w:sz w:val="30"/>
          <w:szCs w:val="30"/>
          <w:lang w:bidi="ar"/>
        </w:rPr>
        <w:t>：</w:t>
      </w:r>
      <w:r>
        <w:rPr>
          <w:rFonts w:ascii="Times New Roman" w:hAnsi="Times New Roman"/>
          <w:color w:val="000000"/>
          <w:sz w:val="30"/>
          <w:szCs w:val="30"/>
          <w:lang w:bidi="ar"/>
        </w:rPr>
        <w:t xml:space="preserve"> </w:t>
      </w:r>
      <w:r>
        <w:rPr>
          <w:rFonts w:hint="eastAsia" w:ascii="Times New Roman" w:hAnsi="Times New Roman" w:cs="宋体"/>
          <w:color w:val="000000"/>
          <w:sz w:val="30"/>
          <w:szCs w:val="30"/>
          <w:lang w:bidi="ar"/>
        </w:rPr>
        <w:t>李  奇</w:t>
      </w:r>
    </w:p>
    <w:p>
      <w:pPr>
        <w:spacing w:line="800" w:lineRule="exact"/>
        <w:rPr>
          <w:rFonts w:ascii="Times New Roman" w:hAnsi="Times New Roman" w:cs="宋体"/>
          <w:color w:val="000000"/>
          <w:sz w:val="30"/>
          <w:szCs w:val="30"/>
          <w:lang w:bidi="ar"/>
        </w:rPr>
      </w:pPr>
      <w:r>
        <w:rPr>
          <w:rFonts w:hint="eastAsia" w:ascii="Times New Roman" w:hAnsi="Times New Roman" w:cs="宋体"/>
          <w:color w:val="000000"/>
          <w:sz w:val="30"/>
          <w:szCs w:val="30"/>
          <w:lang w:bidi="ar"/>
        </w:rPr>
        <w:t xml:space="preserve">项  目  成  员： 刘 </w:t>
      </w:r>
      <w:r>
        <w:rPr>
          <w:rFonts w:ascii="Times New Roman" w:hAnsi="Times New Roman" w:cs="宋体"/>
          <w:color w:val="000000"/>
          <w:sz w:val="30"/>
          <w:szCs w:val="30"/>
          <w:lang w:bidi="ar"/>
        </w:rPr>
        <w:t xml:space="preserve"> </w:t>
      </w:r>
      <w:r>
        <w:rPr>
          <w:rFonts w:hint="eastAsia" w:ascii="Times New Roman" w:hAnsi="Times New Roman" w:cs="宋体"/>
          <w:color w:val="000000"/>
          <w:sz w:val="30"/>
          <w:szCs w:val="30"/>
          <w:lang w:bidi="ar"/>
        </w:rPr>
        <w:t xml:space="preserve">超 </w:t>
      </w:r>
      <w:r>
        <w:rPr>
          <w:rFonts w:ascii="Times New Roman" w:hAnsi="Times New Roman" w:cs="宋体"/>
          <w:color w:val="000000"/>
          <w:sz w:val="30"/>
          <w:szCs w:val="30"/>
          <w:lang w:bidi="ar"/>
        </w:rPr>
        <w:t xml:space="preserve"> </w:t>
      </w:r>
      <w:r>
        <w:rPr>
          <w:rFonts w:hint="eastAsia" w:ascii="Times New Roman" w:hAnsi="Times New Roman" w:cs="宋体"/>
          <w:color w:val="000000"/>
          <w:sz w:val="30"/>
          <w:szCs w:val="30"/>
          <w:lang w:bidi="ar"/>
        </w:rPr>
        <w:t>张丰丰  王艳明  程卫东  赵钊洋</w:t>
      </w:r>
    </w:p>
    <w:p>
      <w:pPr>
        <w:spacing w:line="800" w:lineRule="exact"/>
        <w:rPr>
          <w:rFonts w:ascii="Times New Roman" w:hAnsi="Times New Roman" w:cs="宋体"/>
          <w:color w:val="000000"/>
          <w:sz w:val="30"/>
          <w:szCs w:val="30"/>
          <w:lang w:bidi="ar"/>
        </w:rPr>
      </w:pPr>
      <w:r>
        <w:rPr>
          <w:rFonts w:hint="eastAsia" w:ascii="Times New Roman" w:hAnsi="Times New Roman" w:cs="宋体"/>
          <w:color w:val="000000"/>
          <w:sz w:val="30"/>
          <w:szCs w:val="30"/>
          <w:lang w:bidi="ar"/>
        </w:rPr>
        <w:t xml:space="preserve">                 李梦升 </w:t>
      </w:r>
      <w:r>
        <w:rPr>
          <w:rFonts w:hint="eastAsia" w:ascii="Times New Roman" w:hAnsi="Times New Roman" w:cs="宋体"/>
          <w:color w:val="000000"/>
          <w:sz w:val="30"/>
          <w:szCs w:val="30"/>
          <w:lang w:bidi="ar"/>
        </w:rPr>
        <w:drawing>
          <wp:anchor distT="0" distB="0" distL="114300" distR="114300" simplePos="0" relativeHeight="251661312" behindDoc="1" locked="0" layoutInCell="1" allowOverlap="1">
            <wp:simplePos x="0" y="0"/>
            <wp:positionH relativeFrom="column">
              <wp:posOffset>6800215</wp:posOffset>
            </wp:positionH>
            <wp:positionV relativeFrom="paragraph">
              <wp:posOffset>343535</wp:posOffset>
            </wp:positionV>
            <wp:extent cx="5767705" cy="4044315"/>
            <wp:effectExtent l="0" t="0" r="4445" b="0"/>
            <wp:wrapNone/>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7">
                      <a:extLst>
                        <a:ext uri="{28A0092B-C50C-407E-A947-70E740481C1C}">
                          <a14:useLocalDpi xmlns:a14="http://schemas.microsoft.com/office/drawing/2010/main" val="false"/>
                        </a:ext>
                      </a:extLst>
                    </a:blip>
                    <a:srcRect l="1108" t="2727" r="3551" b="5754"/>
                    <a:stretch>
                      <a:fillRect/>
                    </a:stretch>
                  </pic:blipFill>
                  <pic:spPr>
                    <a:xfrm>
                      <a:off x="0" y="0"/>
                      <a:ext cx="5767705" cy="4044315"/>
                    </a:xfrm>
                    <a:prstGeom prst="rect">
                      <a:avLst/>
                    </a:prstGeom>
                    <a:noFill/>
                    <a:ln>
                      <a:noFill/>
                    </a:ln>
                  </pic:spPr>
                </pic:pic>
              </a:graphicData>
            </a:graphic>
          </wp:anchor>
        </w:drawing>
      </w:r>
      <w:r>
        <w:rPr>
          <w:rFonts w:hint="eastAsia" w:ascii="Times New Roman" w:hAnsi="Times New Roman" w:cs="宋体"/>
          <w:color w:val="000000"/>
          <w:sz w:val="30"/>
          <w:szCs w:val="30"/>
          <w:lang w:bidi="ar"/>
        </w:rPr>
        <w:t xml:space="preserve"> 马 </w:t>
      </w:r>
      <w:r>
        <w:rPr>
          <w:rFonts w:ascii="Times New Roman" w:hAnsi="Times New Roman" w:cs="宋体"/>
          <w:color w:val="000000"/>
          <w:sz w:val="30"/>
          <w:szCs w:val="30"/>
          <w:lang w:bidi="ar"/>
        </w:rPr>
        <w:t xml:space="preserve"> </w:t>
      </w:r>
      <w:r>
        <w:rPr>
          <w:rFonts w:hint="eastAsia" w:ascii="Times New Roman" w:hAnsi="Times New Roman" w:cs="宋体"/>
          <w:color w:val="000000"/>
          <w:sz w:val="30"/>
          <w:szCs w:val="30"/>
          <w:lang w:bidi="ar"/>
        </w:rPr>
        <w:t xml:space="preserve">孬 </w:t>
      </w:r>
      <w:r>
        <w:rPr>
          <w:rFonts w:ascii="Times New Roman" w:hAnsi="Times New Roman" w:cs="宋体"/>
          <w:color w:val="000000"/>
          <w:sz w:val="30"/>
          <w:szCs w:val="30"/>
          <w:lang w:bidi="ar"/>
        </w:rPr>
        <w:t xml:space="preserve"> </w:t>
      </w:r>
      <w:r>
        <w:rPr>
          <w:rFonts w:hint="eastAsia" w:ascii="Times New Roman" w:hAnsi="Times New Roman" w:cs="宋体"/>
          <w:color w:val="000000"/>
          <w:sz w:val="30"/>
          <w:szCs w:val="30"/>
          <w:lang w:bidi="ar"/>
        </w:rPr>
        <w:t xml:space="preserve">杨官玥 </w:t>
      </w:r>
      <w:r>
        <w:rPr>
          <w:rFonts w:ascii="Times New Roman" w:hAnsi="Times New Roman" w:cs="宋体"/>
          <w:color w:val="000000"/>
          <w:sz w:val="30"/>
          <w:szCs w:val="30"/>
          <w:lang w:bidi="ar"/>
        </w:rPr>
        <w:t xml:space="preserve"> </w:t>
      </w:r>
      <w:r>
        <w:rPr>
          <w:rFonts w:hint="eastAsia" w:ascii="Times New Roman" w:hAnsi="Times New Roman" w:cs="宋体"/>
          <w:color w:val="000000"/>
          <w:sz w:val="30"/>
          <w:szCs w:val="30"/>
          <w:lang w:bidi="ar"/>
        </w:rPr>
        <w:t xml:space="preserve">王 </w:t>
      </w:r>
      <w:r>
        <w:rPr>
          <w:rFonts w:ascii="Times New Roman" w:hAnsi="Times New Roman" w:cs="宋体"/>
          <w:color w:val="000000"/>
          <w:sz w:val="30"/>
          <w:szCs w:val="30"/>
          <w:lang w:bidi="ar"/>
        </w:rPr>
        <w:t xml:space="preserve"> </w:t>
      </w:r>
      <w:r>
        <w:rPr>
          <w:rFonts w:hint="eastAsia" w:ascii="Times New Roman" w:hAnsi="Times New Roman" w:cs="宋体"/>
          <w:color w:val="000000"/>
          <w:sz w:val="30"/>
          <w:szCs w:val="30"/>
          <w:lang w:bidi="ar"/>
        </w:rPr>
        <w:t>超</w:t>
      </w:r>
      <w:r>
        <w:rPr>
          <w:rFonts w:ascii="Times New Roman" w:hAnsi="Times New Roman" w:cs="宋体"/>
          <w:color w:val="000000"/>
          <w:sz w:val="30"/>
          <w:szCs w:val="30"/>
          <w:lang w:bidi="ar"/>
        </w:rPr>
        <w:t xml:space="preserve">  </w:t>
      </w:r>
      <w:r>
        <w:rPr>
          <w:rFonts w:hint="eastAsia" w:ascii="Times New Roman" w:hAnsi="Times New Roman" w:cs="宋体"/>
          <w:color w:val="000000"/>
          <w:sz w:val="30"/>
          <w:szCs w:val="30"/>
          <w:lang w:bidi="ar"/>
        </w:rPr>
        <w:t>高梦聪</w:t>
      </w:r>
    </w:p>
    <w:p>
      <w:pPr>
        <w:spacing w:line="800" w:lineRule="exact"/>
        <w:rPr>
          <w:rFonts w:ascii="Times New Roman" w:hAnsi="Times New Roman" w:cs="宋体"/>
          <w:color w:val="000000"/>
          <w:sz w:val="30"/>
          <w:szCs w:val="30"/>
          <w:lang w:bidi="ar"/>
        </w:rPr>
      </w:pPr>
      <w:bookmarkStart w:id="1" w:name="_Hlk80118641"/>
      <w:r>
        <w:rPr>
          <w:rFonts w:hint="eastAsia" w:ascii="Times New Roman" w:hAnsi="Times New Roman" w:cs="宋体"/>
          <w:color w:val="000000"/>
          <w:kern w:val="0"/>
          <w:sz w:val="30"/>
          <w:szCs w:val="30"/>
          <w:lang w:bidi="ar"/>
        </w:rPr>
        <w:t>项</w:t>
      </w:r>
      <w:r>
        <w:rPr>
          <w:rFonts w:ascii="Times New Roman" w:hAnsi="Times New Roman"/>
          <w:color w:val="000000"/>
          <w:kern w:val="0"/>
          <w:sz w:val="30"/>
          <w:szCs w:val="30"/>
          <w:lang w:bidi="ar"/>
        </w:rPr>
        <w:t xml:space="preserve"> </w:t>
      </w:r>
      <w:r>
        <w:rPr>
          <w:rFonts w:hint="eastAsia" w:ascii="Times New Roman" w:hAnsi="Times New Roman" w:cs="宋体"/>
          <w:color w:val="000000"/>
          <w:kern w:val="0"/>
          <w:sz w:val="30"/>
          <w:szCs w:val="30"/>
          <w:lang w:bidi="ar"/>
        </w:rPr>
        <w:t>目</w:t>
      </w:r>
      <w:r>
        <w:rPr>
          <w:rFonts w:ascii="Times New Roman" w:hAnsi="Times New Roman"/>
          <w:color w:val="000000"/>
          <w:kern w:val="0"/>
          <w:sz w:val="30"/>
          <w:szCs w:val="30"/>
          <w:lang w:bidi="ar"/>
        </w:rPr>
        <w:t xml:space="preserve"> </w:t>
      </w:r>
      <w:r>
        <w:rPr>
          <w:rFonts w:hint="eastAsia" w:ascii="Times New Roman" w:hAnsi="Times New Roman" w:cs="宋体"/>
          <w:color w:val="000000"/>
          <w:kern w:val="0"/>
          <w:sz w:val="30"/>
          <w:szCs w:val="30"/>
          <w:lang w:bidi="ar"/>
        </w:rPr>
        <w:t>审 核 人</w:t>
      </w:r>
      <w:r>
        <w:rPr>
          <w:rFonts w:hint="eastAsia" w:ascii="Times New Roman" w:hAnsi="Times New Roman" w:cs="宋体"/>
          <w:color w:val="000000"/>
          <w:sz w:val="30"/>
          <w:szCs w:val="30"/>
          <w:lang w:bidi="ar"/>
        </w:rPr>
        <w:t>：</w:t>
      </w:r>
      <w:bookmarkEnd w:id="1"/>
      <w:r>
        <w:rPr>
          <w:rFonts w:ascii="Times New Roman" w:hAnsi="Times New Roman"/>
          <w:color w:val="000000"/>
          <w:sz w:val="30"/>
          <w:szCs w:val="30"/>
          <w:lang w:bidi="ar"/>
        </w:rPr>
        <w:t xml:space="preserve"> </w:t>
      </w:r>
      <w:r>
        <w:rPr>
          <w:rFonts w:hint="eastAsia" w:ascii="Times New Roman" w:hAnsi="Times New Roman"/>
          <w:color w:val="000000"/>
          <w:sz w:val="30"/>
          <w:szCs w:val="30"/>
          <w:lang w:bidi="ar"/>
        </w:rPr>
        <w:t xml:space="preserve">陈富山  翟福友  赵 </w:t>
      </w:r>
      <w:r>
        <w:rPr>
          <w:rFonts w:ascii="Times New Roman" w:hAnsi="Times New Roman"/>
          <w:color w:val="000000"/>
          <w:sz w:val="30"/>
          <w:szCs w:val="30"/>
          <w:lang w:bidi="ar"/>
        </w:rPr>
        <w:t xml:space="preserve"> </w:t>
      </w:r>
      <w:r>
        <w:rPr>
          <w:rFonts w:hint="eastAsia" w:ascii="Times New Roman" w:hAnsi="Times New Roman"/>
          <w:color w:val="000000"/>
          <w:sz w:val="30"/>
          <w:szCs w:val="30"/>
          <w:lang w:bidi="ar"/>
        </w:rPr>
        <w:t>东  仝国良  闫荣涛</w:t>
      </w:r>
    </w:p>
    <w:p>
      <w:pPr>
        <w:spacing w:line="360" w:lineRule="auto"/>
        <w:ind w:firstLine="480" w:firstLineChars="200"/>
        <w:rPr>
          <w:color w:val="000000"/>
          <w:sz w:val="24"/>
        </w:rPr>
      </w:pPr>
    </w:p>
    <w:p>
      <w:pPr>
        <w:spacing w:line="360" w:lineRule="auto"/>
        <w:rPr>
          <w:color w:val="000000"/>
          <w:sz w:val="24"/>
        </w:rPr>
      </w:pPr>
      <w:r>
        <w:rPr>
          <w:rFonts w:hint="eastAsia" w:ascii="Times New Roman" w:hAnsi="Times New Roman" w:cs="宋体"/>
          <w:color w:val="000000"/>
          <w:kern w:val="0"/>
          <w:sz w:val="30"/>
          <w:szCs w:val="30"/>
          <w:lang w:bidi="ar"/>
        </w:rPr>
        <w:t>项</w:t>
      </w:r>
      <w:r>
        <w:rPr>
          <w:rFonts w:ascii="Times New Roman" w:hAnsi="Times New Roman"/>
          <w:color w:val="000000"/>
          <w:kern w:val="0"/>
          <w:sz w:val="30"/>
          <w:szCs w:val="30"/>
          <w:lang w:bidi="ar"/>
        </w:rPr>
        <w:t xml:space="preserve"> </w:t>
      </w:r>
      <w:r>
        <w:rPr>
          <w:rFonts w:hint="eastAsia" w:ascii="Times New Roman" w:hAnsi="Times New Roman" w:cs="宋体"/>
          <w:color w:val="000000"/>
          <w:kern w:val="0"/>
          <w:sz w:val="30"/>
          <w:szCs w:val="30"/>
          <w:lang w:bidi="ar"/>
        </w:rPr>
        <w:t>目</w:t>
      </w:r>
      <w:r>
        <w:rPr>
          <w:rFonts w:ascii="Times New Roman" w:hAnsi="Times New Roman"/>
          <w:color w:val="000000"/>
          <w:kern w:val="0"/>
          <w:sz w:val="30"/>
          <w:szCs w:val="30"/>
          <w:lang w:bidi="ar"/>
        </w:rPr>
        <w:t xml:space="preserve"> </w:t>
      </w:r>
      <w:r>
        <w:rPr>
          <w:rFonts w:hint="eastAsia" w:ascii="Times New Roman" w:hAnsi="Times New Roman" w:cs="宋体"/>
          <w:color w:val="000000"/>
          <w:kern w:val="0"/>
          <w:sz w:val="30"/>
          <w:szCs w:val="30"/>
          <w:lang w:bidi="ar"/>
        </w:rPr>
        <w:t>审 批 人</w:t>
      </w:r>
      <w:r>
        <w:rPr>
          <w:rFonts w:hint="eastAsia" w:ascii="Times New Roman" w:hAnsi="Times New Roman" w:cs="宋体"/>
          <w:color w:val="000000"/>
          <w:sz w:val="30"/>
          <w:szCs w:val="30"/>
          <w:lang w:bidi="ar"/>
        </w:rPr>
        <w:t>：卜庆正</w:t>
      </w:r>
    </w:p>
    <w:p>
      <w:pPr>
        <w:spacing w:line="360" w:lineRule="auto"/>
        <w:ind w:firstLine="480" w:firstLineChars="200"/>
        <w:rPr>
          <w:color w:val="000000"/>
          <w:sz w:val="24"/>
        </w:rPr>
      </w:pPr>
    </w:p>
    <w:p>
      <w:pPr>
        <w:spacing w:line="360" w:lineRule="auto"/>
        <w:ind w:firstLine="480" w:firstLineChars="200"/>
        <w:rPr>
          <w:color w:val="000000"/>
          <w:sz w:val="24"/>
        </w:rPr>
      </w:pPr>
    </w:p>
    <w:p>
      <w:pPr>
        <w:spacing w:line="360" w:lineRule="auto"/>
        <w:ind w:firstLine="480" w:firstLineChars="200"/>
        <w:rPr>
          <w:color w:val="000000"/>
          <w:sz w:val="24"/>
        </w:rPr>
      </w:pPr>
    </w:p>
    <w:p>
      <w:pPr>
        <w:spacing w:line="360" w:lineRule="auto"/>
        <w:ind w:firstLine="480" w:firstLineChars="200"/>
        <w:rPr>
          <w:color w:val="000000"/>
          <w:sz w:val="24"/>
        </w:rPr>
      </w:pPr>
    </w:p>
    <w:p>
      <w:pPr>
        <w:spacing w:line="360" w:lineRule="auto"/>
        <w:ind w:firstLine="480" w:firstLineChars="200"/>
        <w:rPr>
          <w:color w:val="000000"/>
          <w:sz w:val="24"/>
        </w:rPr>
      </w:pPr>
    </w:p>
    <w:p>
      <w:pPr>
        <w:spacing w:line="360" w:lineRule="auto"/>
        <w:ind w:firstLine="480" w:firstLineChars="200"/>
        <w:rPr>
          <w:color w:val="000000"/>
          <w:sz w:val="24"/>
        </w:rPr>
      </w:pPr>
    </w:p>
    <w:p>
      <w:pPr>
        <w:spacing w:line="360" w:lineRule="auto"/>
        <w:ind w:firstLine="480" w:firstLineChars="200"/>
        <w:rPr>
          <w:color w:val="000000"/>
          <w:sz w:val="24"/>
        </w:rPr>
      </w:pPr>
      <w:r>
        <w:rPr>
          <w:rFonts w:ascii="Times New Roman" w:hAnsi="Times New Roman"/>
          <w:color w:val="000000"/>
          <w:sz w:val="24"/>
          <w:lang w:bidi="ar"/>
        </w:rPr>
        <w:t xml:space="preserve">         </w:t>
      </w:r>
      <w:r>
        <w:rPr>
          <w:rFonts w:hint="eastAsia" w:ascii="Times New Roman" w:hAnsi="Times New Roman" w:cs="宋体"/>
          <w:color w:val="000000"/>
          <w:sz w:val="24"/>
          <w:lang w:bidi="ar"/>
        </w:rPr>
        <w:t>河</w:t>
      </w:r>
      <w:r>
        <w:rPr>
          <w:rFonts w:ascii="Times New Roman" w:hAnsi="Times New Roman"/>
          <w:color w:val="000000"/>
          <w:sz w:val="24"/>
          <w:lang w:bidi="ar"/>
        </w:rPr>
        <w:t xml:space="preserve"> </w:t>
      </w:r>
      <w:r>
        <w:rPr>
          <w:rFonts w:hint="eastAsia" w:ascii="Times New Roman" w:hAnsi="Times New Roman" w:cs="宋体"/>
          <w:color w:val="000000"/>
          <w:sz w:val="24"/>
          <w:lang w:bidi="ar"/>
        </w:rPr>
        <w:t>南</w:t>
      </w:r>
      <w:r>
        <w:rPr>
          <w:rFonts w:ascii="Times New Roman" w:hAnsi="Times New Roman"/>
          <w:color w:val="000000"/>
          <w:sz w:val="24"/>
          <w:lang w:bidi="ar"/>
        </w:rPr>
        <w:t xml:space="preserve"> </w:t>
      </w:r>
      <w:r>
        <w:rPr>
          <w:rFonts w:hint="eastAsia" w:ascii="Times New Roman" w:hAnsi="Times New Roman" w:cs="宋体"/>
          <w:color w:val="000000"/>
          <w:sz w:val="24"/>
          <w:lang w:bidi="ar"/>
        </w:rPr>
        <w:t>省</w:t>
      </w:r>
      <w:r>
        <w:rPr>
          <w:rFonts w:ascii="Times New Roman" w:hAnsi="Times New Roman"/>
          <w:color w:val="000000"/>
          <w:sz w:val="24"/>
          <w:lang w:bidi="ar"/>
        </w:rPr>
        <w:t xml:space="preserve"> </w:t>
      </w:r>
      <w:r>
        <w:rPr>
          <w:rFonts w:hint="eastAsia" w:ascii="Times New Roman" w:hAnsi="Times New Roman" w:cs="宋体"/>
          <w:color w:val="000000"/>
          <w:sz w:val="24"/>
          <w:lang w:bidi="ar"/>
        </w:rPr>
        <w:t>中</w:t>
      </w:r>
      <w:r>
        <w:rPr>
          <w:rFonts w:ascii="Times New Roman" w:hAnsi="Times New Roman"/>
          <w:color w:val="000000"/>
          <w:sz w:val="24"/>
          <w:lang w:bidi="ar"/>
        </w:rPr>
        <w:t xml:space="preserve"> </w:t>
      </w:r>
      <w:r>
        <w:rPr>
          <w:rFonts w:hint="eastAsia" w:ascii="Times New Roman" w:hAnsi="Times New Roman" w:cs="宋体"/>
          <w:color w:val="000000"/>
          <w:sz w:val="24"/>
          <w:lang w:bidi="ar"/>
        </w:rPr>
        <w:t>纬</w:t>
      </w:r>
      <w:r>
        <w:rPr>
          <w:rFonts w:ascii="Times New Roman" w:hAnsi="Times New Roman"/>
          <w:color w:val="000000"/>
          <w:sz w:val="24"/>
          <w:lang w:bidi="ar"/>
        </w:rPr>
        <w:t xml:space="preserve"> </w:t>
      </w:r>
      <w:r>
        <w:rPr>
          <w:rFonts w:hint="eastAsia" w:ascii="Times New Roman" w:hAnsi="Times New Roman" w:cs="宋体"/>
          <w:color w:val="000000"/>
          <w:sz w:val="24"/>
          <w:lang w:bidi="ar"/>
        </w:rPr>
        <w:t>测</w:t>
      </w:r>
      <w:r>
        <w:rPr>
          <w:rFonts w:ascii="Times New Roman" w:hAnsi="Times New Roman"/>
          <w:color w:val="000000"/>
          <w:sz w:val="24"/>
          <w:lang w:bidi="ar"/>
        </w:rPr>
        <w:t xml:space="preserve"> </w:t>
      </w:r>
      <w:r>
        <w:rPr>
          <w:rFonts w:hint="eastAsia" w:ascii="Times New Roman" w:hAnsi="Times New Roman" w:cs="宋体"/>
          <w:color w:val="000000"/>
          <w:sz w:val="24"/>
          <w:lang w:bidi="ar"/>
        </w:rPr>
        <w:t>绘</w:t>
      </w:r>
      <w:r>
        <w:rPr>
          <w:rFonts w:ascii="Times New Roman" w:hAnsi="Times New Roman"/>
          <w:color w:val="000000"/>
          <w:sz w:val="24"/>
          <w:lang w:bidi="ar"/>
        </w:rPr>
        <w:t xml:space="preserve"> </w:t>
      </w:r>
      <w:r>
        <w:rPr>
          <w:rFonts w:hint="eastAsia" w:ascii="Times New Roman" w:hAnsi="Times New Roman" w:cs="宋体"/>
          <w:color w:val="000000"/>
          <w:sz w:val="24"/>
          <w:lang w:bidi="ar"/>
        </w:rPr>
        <w:t>规</w:t>
      </w:r>
      <w:r>
        <w:rPr>
          <w:rFonts w:ascii="Times New Roman" w:hAnsi="Times New Roman"/>
          <w:color w:val="000000"/>
          <w:sz w:val="24"/>
          <w:lang w:bidi="ar"/>
        </w:rPr>
        <w:t xml:space="preserve"> </w:t>
      </w:r>
      <w:r>
        <w:rPr>
          <w:rFonts w:hint="eastAsia" w:ascii="Times New Roman" w:hAnsi="Times New Roman" w:cs="宋体"/>
          <w:color w:val="000000"/>
          <w:sz w:val="24"/>
          <w:lang w:bidi="ar"/>
        </w:rPr>
        <w:t>划</w:t>
      </w:r>
      <w:r>
        <w:rPr>
          <w:rFonts w:ascii="Times New Roman" w:hAnsi="Times New Roman"/>
          <w:color w:val="000000"/>
          <w:sz w:val="24"/>
          <w:lang w:bidi="ar"/>
        </w:rPr>
        <w:t xml:space="preserve"> </w:t>
      </w:r>
      <w:r>
        <w:rPr>
          <w:rFonts w:hint="eastAsia" w:ascii="Times New Roman" w:hAnsi="Times New Roman" w:cs="宋体"/>
          <w:color w:val="000000"/>
          <w:sz w:val="24"/>
          <w:lang w:bidi="ar"/>
        </w:rPr>
        <w:t>信</w:t>
      </w:r>
      <w:r>
        <w:rPr>
          <w:rFonts w:ascii="Times New Roman" w:hAnsi="Times New Roman"/>
          <w:color w:val="000000"/>
          <w:sz w:val="24"/>
          <w:lang w:bidi="ar"/>
        </w:rPr>
        <w:t xml:space="preserve"> </w:t>
      </w:r>
      <w:r>
        <w:rPr>
          <w:rFonts w:hint="eastAsia" w:ascii="Times New Roman" w:hAnsi="Times New Roman" w:cs="宋体"/>
          <w:color w:val="000000"/>
          <w:sz w:val="24"/>
          <w:lang w:bidi="ar"/>
        </w:rPr>
        <w:t>息</w:t>
      </w:r>
      <w:r>
        <w:rPr>
          <w:rFonts w:ascii="Times New Roman" w:hAnsi="Times New Roman"/>
          <w:color w:val="000000"/>
          <w:sz w:val="24"/>
          <w:lang w:bidi="ar"/>
        </w:rPr>
        <w:t xml:space="preserve"> </w:t>
      </w:r>
      <w:r>
        <w:rPr>
          <w:rFonts w:hint="eastAsia" w:ascii="Times New Roman" w:hAnsi="Times New Roman" w:cs="宋体"/>
          <w:color w:val="000000"/>
          <w:sz w:val="24"/>
          <w:lang w:bidi="ar"/>
        </w:rPr>
        <w:t>工</w:t>
      </w:r>
      <w:r>
        <w:rPr>
          <w:rFonts w:ascii="Times New Roman" w:hAnsi="Times New Roman"/>
          <w:color w:val="000000"/>
          <w:sz w:val="24"/>
          <w:lang w:bidi="ar"/>
        </w:rPr>
        <w:t xml:space="preserve"> </w:t>
      </w:r>
      <w:r>
        <w:rPr>
          <w:rFonts w:hint="eastAsia" w:ascii="Times New Roman" w:hAnsi="Times New Roman" w:cs="宋体"/>
          <w:color w:val="000000"/>
          <w:sz w:val="24"/>
          <w:lang w:bidi="ar"/>
        </w:rPr>
        <w:t>程</w:t>
      </w:r>
      <w:r>
        <w:rPr>
          <w:rFonts w:ascii="Times New Roman" w:hAnsi="Times New Roman"/>
          <w:color w:val="000000"/>
          <w:sz w:val="24"/>
          <w:lang w:bidi="ar"/>
        </w:rPr>
        <w:t xml:space="preserve"> </w:t>
      </w:r>
      <w:r>
        <w:rPr>
          <w:rFonts w:hint="eastAsia" w:ascii="Times New Roman" w:hAnsi="Times New Roman" w:cs="宋体"/>
          <w:color w:val="000000"/>
          <w:sz w:val="24"/>
          <w:lang w:bidi="ar"/>
        </w:rPr>
        <w:t>有</w:t>
      </w:r>
      <w:r>
        <w:rPr>
          <w:rFonts w:ascii="Times New Roman" w:hAnsi="Times New Roman"/>
          <w:color w:val="000000"/>
          <w:sz w:val="24"/>
          <w:lang w:bidi="ar"/>
        </w:rPr>
        <w:t xml:space="preserve"> </w:t>
      </w:r>
      <w:r>
        <w:rPr>
          <w:rFonts w:hint="eastAsia" w:ascii="Times New Roman" w:hAnsi="Times New Roman" w:cs="宋体"/>
          <w:color w:val="000000"/>
          <w:sz w:val="24"/>
          <w:lang w:bidi="ar"/>
        </w:rPr>
        <w:t>限</w:t>
      </w:r>
      <w:r>
        <w:rPr>
          <w:rFonts w:ascii="Times New Roman" w:hAnsi="Times New Roman"/>
          <w:color w:val="000000"/>
          <w:sz w:val="24"/>
          <w:lang w:bidi="ar"/>
        </w:rPr>
        <w:t xml:space="preserve"> </w:t>
      </w:r>
      <w:r>
        <w:rPr>
          <w:rFonts w:hint="eastAsia" w:ascii="Times New Roman" w:hAnsi="Times New Roman" w:cs="宋体"/>
          <w:color w:val="000000"/>
          <w:sz w:val="24"/>
          <w:lang w:bidi="ar"/>
        </w:rPr>
        <w:t>公</w:t>
      </w:r>
      <w:r>
        <w:rPr>
          <w:rFonts w:ascii="Times New Roman" w:hAnsi="Times New Roman"/>
          <w:color w:val="000000"/>
          <w:sz w:val="24"/>
          <w:lang w:bidi="ar"/>
        </w:rPr>
        <w:t xml:space="preserve"> </w:t>
      </w:r>
      <w:r>
        <w:rPr>
          <w:rFonts w:hint="eastAsia" w:ascii="Times New Roman" w:hAnsi="Times New Roman" w:cs="宋体"/>
          <w:color w:val="000000"/>
          <w:sz w:val="24"/>
          <w:lang w:bidi="ar"/>
        </w:rPr>
        <w:t>司</w:t>
      </w:r>
    </w:p>
    <w:p>
      <w:pPr>
        <w:spacing w:line="360" w:lineRule="auto"/>
        <w:ind w:firstLine="2040" w:firstLineChars="850"/>
        <w:rPr>
          <w:color w:val="000000"/>
          <w:sz w:val="24"/>
        </w:rPr>
      </w:pPr>
      <w:r>
        <w:rPr>
          <w:rFonts w:ascii="Times New Roman" w:hAnsi="Times New Roman"/>
          <w:color w:val="000000"/>
          <w:sz w:val="24"/>
          <w:lang w:bidi="ar"/>
        </w:rPr>
        <w:t xml:space="preserve">         </w:t>
      </w:r>
      <w:r>
        <w:rPr>
          <w:rFonts w:hint="eastAsia" w:ascii="Times New Roman" w:hAnsi="Times New Roman" w:cs="宋体"/>
          <w:color w:val="000000"/>
          <w:sz w:val="24"/>
          <w:lang w:bidi="ar"/>
        </w:rPr>
        <w:t>土地规划、城乡规划证书号</w:t>
      </w:r>
    </w:p>
    <w:p>
      <w:pPr>
        <w:spacing w:line="360" w:lineRule="auto"/>
        <w:rPr>
          <w:color w:val="000000"/>
          <w:sz w:val="24"/>
        </w:rPr>
      </w:pPr>
      <w:r>
        <w:rPr>
          <w:rFonts w:ascii="Times New Roman" w:hAnsi="Times New Roman"/>
          <w:color w:val="000000"/>
          <w:sz w:val="24"/>
          <w:lang w:bidi="ar"/>
        </w:rPr>
        <w:t xml:space="preserve">         </w:t>
      </w:r>
      <w:r>
        <w:rPr>
          <w:rFonts w:hint="eastAsia" w:ascii="Times New Roman" w:hAnsi="Times New Roman" w:cs="宋体"/>
          <w:color w:val="000000"/>
          <w:sz w:val="24"/>
          <w:lang w:bidi="ar"/>
        </w:rPr>
        <w:t>土地规划甲级：</w:t>
      </w:r>
      <w:r>
        <w:rPr>
          <w:rFonts w:ascii="Times New Roman" w:hAnsi="Times New Roman"/>
          <w:color w:val="000000"/>
          <w:sz w:val="24"/>
          <w:lang w:bidi="ar"/>
        </w:rPr>
        <w:t xml:space="preserve">037009   </w:t>
      </w:r>
      <w:r>
        <w:rPr>
          <w:rFonts w:hint="eastAsia" w:ascii="Times New Roman" w:hAnsi="Times New Roman" w:cs="宋体"/>
          <w:color w:val="000000"/>
          <w:sz w:val="24"/>
          <w:lang w:bidi="ar"/>
        </w:rPr>
        <w:t>城乡规划乙级：〔豫〕城规编第（</w:t>
      </w:r>
      <w:r>
        <w:rPr>
          <w:rFonts w:ascii="Times New Roman" w:hAnsi="Times New Roman"/>
          <w:color w:val="000000"/>
          <w:sz w:val="24"/>
          <w:lang w:bidi="ar"/>
        </w:rPr>
        <w:t>182015</w:t>
      </w:r>
      <w:r>
        <w:rPr>
          <w:rFonts w:hint="eastAsia" w:ascii="Times New Roman" w:hAnsi="Times New Roman" w:cs="宋体"/>
          <w:color w:val="000000"/>
          <w:sz w:val="24"/>
          <w:lang w:bidi="ar"/>
        </w:rPr>
        <w:t>）</w:t>
      </w:r>
    </w:p>
    <w:p>
      <w:pPr>
        <w:ind w:left="-141" w:leftChars="-67" w:firstLine="1269" w:firstLineChars="423"/>
        <w:rPr>
          <w:color w:val="000000"/>
          <w:sz w:val="30"/>
          <w:szCs w:val="30"/>
        </w:rPr>
      </w:pPr>
    </w:p>
    <w:p>
      <w:pPr>
        <w:spacing w:line="360" w:lineRule="auto"/>
        <w:jc w:val="center"/>
        <w:rPr>
          <w:rFonts w:ascii="仿宋" w:hAnsi="仿宋" w:eastAsia="仿宋" w:cs="方正小标宋_GBK"/>
          <w:sz w:val="36"/>
          <w:szCs w:val="36"/>
        </w:rPr>
        <w:sectPr>
          <w:pgSz w:w="23811" w:h="16838" w:orient="landscape"/>
          <w:pgMar w:top="1587" w:right="2098" w:bottom="1474" w:left="1984" w:header="851" w:footer="992" w:gutter="0"/>
          <w:pgNumType w:start="1"/>
          <w:cols w:space="720" w:num="1"/>
          <w:docGrid w:type="lines" w:linePitch="312" w:charSpace="0"/>
        </w:sectPr>
      </w:pPr>
    </w:p>
    <w:sdt>
      <w:sdtPr>
        <w:rPr>
          <w:lang w:val="zh-CN"/>
        </w:rPr>
        <w:id w:val="1632745740"/>
        <w:docPartObj>
          <w:docPartGallery w:val="Table of Contents"/>
          <w:docPartUnique/>
        </w:docPartObj>
      </w:sdtPr>
      <w:sdtEndPr>
        <w:rPr>
          <w:rFonts w:ascii="仿宋" w:hAnsi="仿宋" w:eastAsia="仿宋"/>
          <w:b/>
          <w:bCs/>
          <w:sz w:val="32"/>
          <w:szCs w:val="32"/>
          <w:lang w:val="zh-CN"/>
        </w:rPr>
      </w:sdtEndPr>
      <w:sdtContent>
        <w:p>
          <w:pPr>
            <w:widowControl/>
            <w:jc w:val="center"/>
            <w:rPr>
              <w:rFonts w:ascii="黑体" w:hAnsi="黑体" w:eastAsia="黑体"/>
              <w:sz w:val="48"/>
              <w:szCs w:val="56"/>
            </w:rPr>
          </w:pPr>
          <w:r>
            <w:rPr>
              <w:rFonts w:ascii="黑体" w:hAnsi="黑体" w:eastAsia="黑体"/>
              <w:sz w:val="48"/>
              <w:szCs w:val="56"/>
              <w:lang w:val="zh-CN"/>
            </w:rPr>
            <w:t>目录</w:t>
          </w:r>
        </w:p>
        <w:p>
          <w:pPr>
            <w:pStyle w:val="10"/>
            <w:tabs>
              <w:tab w:val="right" w:leader="dot" w:pos="9494"/>
            </w:tabs>
            <w:rPr>
              <w:rFonts w:ascii="仿宋" w:hAnsi="仿宋" w:eastAsia="仿宋" w:cstheme="minorBidi"/>
              <w:sz w:val="28"/>
              <w:szCs w:val="32"/>
            </w:rPr>
          </w:pPr>
          <w:r>
            <w:rPr>
              <w:rFonts w:ascii="仿宋" w:hAnsi="仿宋" w:eastAsia="仿宋"/>
              <w:sz w:val="32"/>
              <w:szCs w:val="32"/>
            </w:rPr>
            <w:fldChar w:fldCharType="begin"/>
          </w:r>
          <w:r>
            <w:rPr>
              <w:rFonts w:ascii="仿宋" w:hAnsi="仿宋" w:eastAsia="仿宋"/>
              <w:sz w:val="32"/>
              <w:szCs w:val="32"/>
            </w:rPr>
            <w:instrText xml:space="preserve"> TOC \o "1-3" \h \z \u </w:instrText>
          </w:r>
          <w:r>
            <w:rPr>
              <w:rFonts w:ascii="仿宋" w:hAnsi="仿宋" w:eastAsia="仿宋"/>
              <w:sz w:val="32"/>
              <w:szCs w:val="32"/>
            </w:rPr>
            <w:fldChar w:fldCharType="separate"/>
          </w:r>
          <w:r>
            <w:fldChar w:fldCharType="begin"/>
          </w:r>
          <w:r>
            <w:instrText xml:space="preserve"> HYPERLINK \l "_Toc80116025" </w:instrText>
          </w:r>
          <w:r>
            <w:fldChar w:fldCharType="separate"/>
          </w:r>
          <w:r>
            <w:rPr>
              <w:rStyle w:val="19"/>
              <w:rFonts w:ascii="仿宋" w:hAnsi="仿宋" w:eastAsia="仿宋"/>
              <w:sz w:val="28"/>
              <w:szCs w:val="36"/>
            </w:rPr>
            <w:t>前  言</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_Toc80116025 \h </w:instrText>
          </w:r>
          <w:r>
            <w:rPr>
              <w:rFonts w:ascii="仿宋" w:hAnsi="仿宋" w:eastAsia="仿宋"/>
              <w:sz w:val="28"/>
              <w:szCs w:val="36"/>
            </w:rPr>
            <w:fldChar w:fldCharType="separate"/>
          </w:r>
          <w:r>
            <w:rPr>
              <w:rFonts w:ascii="仿宋" w:hAnsi="仿宋" w:eastAsia="仿宋"/>
              <w:sz w:val="28"/>
              <w:szCs w:val="36"/>
            </w:rPr>
            <w:t>1</w:t>
          </w:r>
          <w:r>
            <w:rPr>
              <w:rFonts w:ascii="仿宋" w:hAnsi="仿宋" w:eastAsia="仿宋"/>
              <w:sz w:val="28"/>
              <w:szCs w:val="36"/>
            </w:rPr>
            <w:fldChar w:fldCharType="end"/>
          </w:r>
          <w:r>
            <w:rPr>
              <w:rFonts w:ascii="仿宋" w:hAnsi="仿宋" w:eastAsia="仿宋"/>
              <w:sz w:val="28"/>
              <w:szCs w:val="36"/>
            </w:rPr>
            <w:fldChar w:fldCharType="end"/>
          </w:r>
        </w:p>
        <w:p>
          <w:pPr>
            <w:pStyle w:val="10"/>
            <w:tabs>
              <w:tab w:val="right" w:leader="dot" w:pos="9494"/>
            </w:tabs>
            <w:rPr>
              <w:rFonts w:ascii="仿宋" w:hAnsi="仿宋" w:eastAsia="仿宋" w:cstheme="minorBidi"/>
              <w:sz w:val="28"/>
              <w:szCs w:val="32"/>
            </w:rPr>
          </w:pPr>
          <w:r>
            <w:fldChar w:fldCharType="begin"/>
          </w:r>
          <w:r>
            <w:instrText xml:space="preserve"> HYPERLINK \l "_Toc80116026" </w:instrText>
          </w:r>
          <w:r>
            <w:fldChar w:fldCharType="separate"/>
          </w:r>
          <w:r>
            <w:rPr>
              <w:rStyle w:val="19"/>
              <w:rFonts w:ascii="仿宋" w:hAnsi="仿宋" w:eastAsia="仿宋"/>
              <w:sz w:val="28"/>
              <w:szCs w:val="36"/>
            </w:rPr>
            <w:t>第一章  总则</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_Toc80116026 \h </w:instrText>
          </w:r>
          <w:r>
            <w:rPr>
              <w:rFonts w:ascii="仿宋" w:hAnsi="仿宋" w:eastAsia="仿宋"/>
              <w:sz w:val="28"/>
              <w:szCs w:val="36"/>
            </w:rPr>
            <w:fldChar w:fldCharType="separate"/>
          </w:r>
          <w:r>
            <w:rPr>
              <w:rFonts w:ascii="仿宋" w:hAnsi="仿宋" w:eastAsia="仿宋"/>
              <w:sz w:val="28"/>
              <w:szCs w:val="36"/>
            </w:rPr>
            <w:t>1</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"_Toc80116027" </w:instrText>
          </w:r>
          <w:r>
            <w:fldChar w:fldCharType="separate"/>
          </w:r>
          <w:r>
            <w:rPr>
              <w:rStyle w:val="19"/>
              <w:rFonts w:ascii="仿宋" w:hAnsi="仿宋" w:eastAsia="仿宋"/>
              <w:sz w:val="28"/>
              <w:szCs w:val="36"/>
            </w:rPr>
            <w:t>第一节  指导思想</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_Toc80116027 \h </w:instrText>
          </w:r>
          <w:r>
            <w:rPr>
              <w:rFonts w:ascii="仿宋" w:hAnsi="仿宋" w:eastAsia="仿宋"/>
              <w:sz w:val="28"/>
              <w:szCs w:val="36"/>
            </w:rPr>
            <w:fldChar w:fldCharType="separate"/>
          </w:r>
          <w:r>
            <w:rPr>
              <w:rFonts w:ascii="仿宋" w:hAnsi="仿宋" w:eastAsia="仿宋"/>
              <w:sz w:val="28"/>
              <w:szCs w:val="36"/>
            </w:rPr>
            <w:t>1</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"_Toc80116028" </w:instrText>
          </w:r>
          <w:r>
            <w:fldChar w:fldCharType="separate"/>
          </w:r>
          <w:r>
            <w:rPr>
              <w:rStyle w:val="19"/>
              <w:rFonts w:ascii="仿宋" w:hAnsi="仿宋" w:eastAsia="仿宋"/>
              <w:sz w:val="28"/>
              <w:szCs w:val="36"/>
            </w:rPr>
            <w:t>第二节  基本原则</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_Toc80116028 \h </w:instrText>
          </w:r>
          <w:r>
            <w:rPr>
              <w:rFonts w:ascii="仿宋" w:hAnsi="仿宋" w:eastAsia="仿宋"/>
              <w:sz w:val="28"/>
              <w:szCs w:val="36"/>
            </w:rPr>
            <w:fldChar w:fldCharType="separate"/>
          </w:r>
          <w:r>
            <w:rPr>
              <w:rFonts w:ascii="仿宋" w:hAnsi="仿宋" w:eastAsia="仿宋"/>
              <w:sz w:val="28"/>
              <w:szCs w:val="36"/>
            </w:rPr>
            <w:t>1</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"_Toc80116029" </w:instrText>
          </w:r>
          <w:r>
            <w:fldChar w:fldCharType="separate"/>
          </w:r>
          <w:r>
            <w:rPr>
              <w:rStyle w:val="19"/>
              <w:rFonts w:ascii="仿宋" w:hAnsi="仿宋" w:eastAsia="仿宋"/>
              <w:sz w:val="28"/>
              <w:szCs w:val="36"/>
            </w:rPr>
            <w:t>第三节  发展目标</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_Toc80116029 \h </w:instrText>
          </w:r>
          <w:r>
            <w:rPr>
              <w:rFonts w:ascii="仿宋" w:hAnsi="仿宋" w:eastAsia="仿宋"/>
              <w:sz w:val="28"/>
              <w:szCs w:val="36"/>
            </w:rPr>
            <w:fldChar w:fldCharType="separate"/>
          </w:r>
          <w:r>
            <w:rPr>
              <w:rFonts w:ascii="仿宋" w:hAnsi="仿宋" w:eastAsia="仿宋"/>
              <w:sz w:val="28"/>
              <w:szCs w:val="36"/>
            </w:rPr>
            <w:t>2</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"_Toc80116030" </w:instrText>
          </w:r>
          <w:r>
            <w:fldChar w:fldCharType="separate"/>
          </w:r>
          <w:r>
            <w:rPr>
              <w:rStyle w:val="19"/>
              <w:rFonts w:ascii="仿宋" w:hAnsi="仿宋" w:eastAsia="仿宋"/>
              <w:sz w:val="28"/>
              <w:szCs w:val="36"/>
            </w:rPr>
            <w:t>第四节  规划依据</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_Toc80116030 \h </w:instrText>
          </w:r>
          <w:r>
            <w:rPr>
              <w:rFonts w:ascii="仿宋" w:hAnsi="仿宋" w:eastAsia="仿宋"/>
              <w:sz w:val="28"/>
              <w:szCs w:val="36"/>
            </w:rPr>
            <w:fldChar w:fldCharType="separate"/>
          </w:r>
          <w:r>
            <w:rPr>
              <w:rFonts w:ascii="仿宋" w:hAnsi="仿宋" w:eastAsia="仿宋"/>
              <w:sz w:val="28"/>
              <w:szCs w:val="36"/>
            </w:rPr>
            <w:t>3</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"_Toc80116031" </w:instrText>
          </w:r>
          <w:r>
            <w:fldChar w:fldCharType="separate"/>
          </w:r>
          <w:r>
            <w:rPr>
              <w:rStyle w:val="19"/>
              <w:rFonts w:ascii="仿宋" w:hAnsi="仿宋" w:eastAsia="仿宋"/>
              <w:sz w:val="28"/>
              <w:szCs w:val="36"/>
            </w:rPr>
            <w:t>第五节  规划范围</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_Toc80116031 \h </w:instrText>
          </w:r>
          <w:r>
            <w:rPr>
              <w:rFonts w:ascii="仿宋" w:hAnsi="仿宋" w:eastAsia="仿宋"/>
              <w:sz w:val="28"/>
              <w:szCs w:val="36"/>
            </w:rPr>
            <w:fldChar w:fldCharType="separate"/>
          </w:r>
          <w:r>
            <w:rPr>
              <w:rFonts w:ascii="仿宋" w:hAnsi="仿宋" w:eastAsia="仿宋"/>
              <w:sz w:val="28"/>
              <w:szCs w:val="36"/>
            </w:rPr>
            <w:t>5</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"_Toc80116032" </w:instrText>
          </w:r>
          <w:r>
            <w:fldChar w:fldCharType="separate"/>
          </w:r>
          <w:r>
            <w:rPr>
              <w:rStyle w:val="19"/>
              <w:rFonts w:ascii="仿宋" w:hAnsi="仿宋" w:eastAsia="仿宋"/>
              <w:sz w:val="28"/>
              <w:szCs w:val="36"/>
            </w:rPr>
            <w:t>第六节  规划年限</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_Toc80116032 \h </w:instrText>
          </w:r>
          <w:r>
            <w:rPr>
              <w:rFonts w:ascii="仿宋" w:hAnsi="仿宋" w:eastAsia="仿宋"/>
              <w:sz w:val="28"/>
              <w:szCs w:val="36"/>
            </w:rPr>
            <w:fldChar w:fldCharType="separate"/>
          </w:r>
          <w:r>
            <w:rPr>
              <w:rFonts w:ascii="仿宋" w:hAnsi="仿宋" w:eastAsia="仿宋"/>
              <w:sz w:val="28"/>
              <w:szCs w:val="36"/>
            </w:rPr>
            <w:t>5</w:t>
          </w:r>
          <w:r>
            <w:rPr>
              <w:rFonts w:ascii="仿宋" w:hAnsi="仿宋" w:eastAsia="仿宋"/>
              <w:sz w:val="28"/>
              <w:szCs w:val="36"/>
            </w:rPr>
            <w:fldChar w:fldCharType="end"/>
          </w:r>
          <w:r>
            <w:rPr>
              <w:rFonts w:ascii="仿宋" w:hAnsi="仿宋" w:eastAsia="仿宋"/>
              <w:sz w:val="28"/>
              <w:szCs w:val="36"/>
            </w:rPr>
            <w:fldChar w:fldCharType="end"/>
          </w:r>
        </w:p>
        <w:p>
          <w:pPr>
            <w:pStyle w:val="10"/>
            <w:tabs>
              <w:tab w:val="right" w:leader="dot" w:pos="9494"/>
            </w:tabs>
            <w:rPr>
              <w:rFonts w:ascii="仿宋" w:hAnsi="仿宋" w:eastAsia="仿宋" w:cstheme="minorBidi"/>
              <w:sz w:val="28"/>
              <w:szCs w:val="32"/>
            </w:rPr>
          </w:pPr>
          <w:r>
            <w:fldChar w:fldCharType="begin"/>
          </w:r>
          <w:r>
            <w:instrText xml:space="preserve"> HYPERLINK \l "_Toc80116033" </w:instrText>
          </w:r>
          <w:r>
            <w:fldChar w:fldCharType="separate"/>
          </w:r>
          <w:r>
            <w:rPr>
              <w:rStyle w:val="19"/>
              <w:rFonts w:ascii="仿宋" w:hAnsi="仿宋" w:eastAsia="仿宋"/>
              <w:sz w:val="28"/>
              <w:szCs w:val="36"/>
            </w:rPr>
            <w:t>第二章  “十三五”时期民政事业发展概况</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_Toc80116033 \h </w:instrText>
          </w:r>
          <w:r>
            <w:rPr>
              <w:rFonts w:ascii="仿宋" w:hAnsi="仿宋" w:eastAsia="仿宋"/>
              <w:sz w:val="28"/>
              <w:szCs w:val="36"/>
            </w:rPr>
            <w:fldChar w:fldCharType="separate"/>
          </w:r>
          <w:r>
            <w:rPr>
              <w:rFonts w:ascii="仿宋" w:hAnsi="仿宋" w:eastAsia="仿宋"/>
              <w:sz w:val="28"/>
              <w:szCs w:val="36"/>
            </w:rPr>
            <w:t>6</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"_Toc80116034" </w:instrText>
          </w:r>
          <w:r>
            <w:fldChar w:fldCharType="separate"/>
          </w:r>
          <w:r>
            <w:rPr>
              <w:rStyle w:val="19"/>
              <w:rFonts w:ascii="仿宋" w:hAnsi="仿宋" w:eastAsia="仿宋"/>
              <w:sz w:val="28"/>
              <w:szCs w:val="36"/>
            </w:rPr>
            <w:t>第一节  基本民生保障水平不断提升</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_Toc80116034 \h </w:instrText>
          </w:r>
          <w:r>
            <w:rPr>
              <w:rFonts w:ascii="仿宋" w:hAnsi="仿宋" w:eastAsia="仿宋"/>
              <w:sz w:val="28"/>
              <w:szCs w:val="36"/>
            </w:rPr>
            <w:fldChar w:fldCharType="separate"/>
          </w:r>
          <w:r>
            <w:rPr>
              <w:rFonts w:ascii="仿宋" w:hAnsi="仿宋" w:eastAsia="仿宋"/>
              <w:sz w:val="28"/>
              <w:szCs w:val="36"/>
            </w:rPr>
            <w:t>6</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"_Toc80116035" </w:instrText>
          </w:r>
          <w:r>
            <w:fldChar w:fldCharType="separate"/>
          </w:r>
          <w:r>
            <w:rPr>
              <w:rStyle w:val="19"/>
              <w:rFonts w:ascii="仿宋" w:hAnsi="仿宋" w:eastAsia="仿宋"/>
              <w:sz w:val="28"/>
              <w:szCs w:val="36"/>
            </w:rPr>
            <w:t>第二节  养老服务体系逐步健全</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_Toc80116035 \h </w:instrText>
          </w:r>
          <w:r>
            <w:rPr>
              <w:rFonts w:ascii="仿宋" w:hAnsi="仿宋" w:eastAsia="仿宋"/>
              <w:sz w:val="28"/>
              <w:szCs w:val="36"/>
            </w:rPr>
            <w:fldChar w:fldCharType="separate"/>
          </w:r>
          <w:r>
            <w:rPr>
              <w:rFonts w:ascii="仿宋" w:hAnsi="仿宋" w:eastAsia="仿宋"/>
              <w:sz w:val="28"/>
              <w:szCs w:val="36"/>
            </w:rPr>
            <w:t>7</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"_Toc80116036" </w:instrText>
          </w:r>
          <w:r>
            <w:fldChar w:fldCharType="separate"/>
          </w:r>
          <w:r>
            <w:rPr>
              <w:rStyle w:val="19"/>
              <w:rFonts w:ascii="仿宋" w:hAnsi="仿宋" w:eastAsia="仿宋"/>
              <w:sz w:val="28"/>
              <w:szCs w:val="36"/>
            </w:rPr>
            <w:t>第三节  儿童福利服务体系基本健全</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_Toc80116036 \h </w:instrText>
          </w:r>
          <w:r>
            <w:rPr>
              <w:rFonts w:ascii="仿宋" w:hAnsi="仿宋" w:eastAsia="仿宋"/>
              <w:sz w:val="28"/>
              <w:szCs w:val="36"/>
            </w:rPr>
            <w:fldChar w:fldCharType="separate"/>
          </w:r>
          <w:r>
            <w:rPr>
              <w:rFonts w:ascii="仿宋" w:hAnsi="仿宋" w:eastAsia="仿宋"/>
              <w:sz w:val="28"/>
              <w:szCs w:val="36"/>
            </w:rPr>
            <w:t>9</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"_Toc80116037" </w:instrText>
          </w:r>
          <w:r>
            <w:fldChar w:fldCharType="separate"/>
          </w:r>
          <w:r>
            <w:rPr>
              <w:rStyle w:val="19"/>
              <w:rFonts w:ascii="仿宋" w:hAnsi="仿宋" w:eastAsia="仿宋"/>
              <w:sz w:val="28"/>
              <w:szCs w:val="36"/>
            </w:rPr>
            <w:t xml:space="preserve">第四节  </w:t>
          </w:r>
          <w:r>
            <w:rPr>
              <w:rStyle w:val="19"/>
              <w:rFonts w:ascii="仿宋" w:hAnsi="仿宋" w:eastAsia="仿宋"/>
              <w:sz w:val="28"/>
              <w:szCs w:val="36"/>
              <w:shd w:val="clear" w:color="auto" w:fill="FFFFFF"/>
            </w:rPr>
            <w:t>社会福利和慈善事业稳步发展</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_Toc80116037 \h </w:instrText>
          </w:r>
          <w:r>
            <w:rPr>
              <w:rFonts w:ascii="仿宋" w:hAnsi="仿宋" w:eastAsia="仿宋"/>
              <w:sz w:val="28"/>
              <w:szCs w:val="36"/>
            </w:rPr>
            <w:fldChar w:fldCharType="separate"/>
          </w:r>
          <w:r>
            <w:rPr>
              <w:rFonts w:ascii="仿宋" w:hAnsi="仿宋" w:eastAsia="仿宋"/>
              <w:sz w:val="28"/>
              <w:szCs w:val="36"/>
            </w:rPr>
            <w:t>10</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"_Toc80116038" </w:instrText>
          </w:r>
          <w:r>
            <w:fldChar w:fldCharType="separate"/>
          </w:r>
          <w:r>
            <w:rPr>
              <w:rStyle w:val="19"/>
              <w:rFonts w:ascii="仿宋" w:hAnsi="仿宋" w:eastAsia="仿宋"/>
              <w:sz w:val="28"/>
              <w:szCs w:val="36"/>
            </w:rPr>
            <w:t xml:space="preserve">第五节  </w:t>
          </w:r>
          <w:r>
            <w:rPr>
              <w:rStyle w:val="19"/>
              <w:rFonts w:ascii="仿宋" w:hAnsi="仿宋" w:eastAsia="仿宋"/>
              <w:sz w:val="28"/>
              <w:szCs w:val="36"/>
              <w:shd w:val="clear" w:color="auto" w:fill="FFFFFF"/>
            </w:rPr>
            <w:t>勘界及区划地名工作趋于规范</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_Toc80116038 \h </w:instrText>
          </w:r>
          <w:r>
            <w:rPr>
              <w:rFonts w:ascii="仿宋" w:hAnsi="仿宋" w:eastAsia="仿宋"/>
              <w:sz w:val="28"/>
              <w:szCs w:val="36"/>
            </w:rPr>
            <w:fldChar w:fldCharType="separate"/>
          </w:r>
          <w:r>
            <w:rPr>
              <w:rFonts w:ascii="仿宋" w:hAnsi="仿宋" w:eastAsia="仿宋"/>
              <w:sz w:val="28"/>
              <w:szCs w:val="36"/>
            </w:rPr>
            <w:t>12</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"_Toc80116039" </w:instrText>
          </w:r>
          <w:r>
            <w:fldChar w:fldCharType="separate"/>
          </w:r>
          <w:r>
            <w:rPr>
              <w:rStyle w:val="19"/>
              <w:rFonts w:ascii="仿宋" w:hAnsi="仿宋" w:eastAsia="仿宋"/>
              <w:sz w:val="28"/>
              <w:szCs w:val="36"/>
            </w:rPr>
            <w:t xml:space="preserve">第六节  </w:t>
          </w:r>
          <w:r>
            <w:rPr>
              <w:rStyle w:val="19"/>
              <w:rFonts w:ascii="仿宋" w:hAnsi="仿宋" w:eastAsia="仿宋"/>
              <w:sz w:val="28"/>
              <w:szCs w:val="36"/>
              <w:shd w:val="clear" w:color="auto" w:fill="FFFFFF"/>
            </w:rPr>
            <w:t>社会事务管理工作扎实开展</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_Toc80116039 \h </w:instrText>
          </w:r>
          <w:r>
            <w:rPr>
              <w:rFonts w:ascii="仿宋" w:hAnsi="仿宋" w:eastAsia="仿宋"/>
              <w:sz w:val="28"/>
              <w:szCs w:val="36"/>
            </w:rPr>
            <w:fldChar w:fldCharType="separate"/>
          </w:r>
          <w:r>
            <w:rPr>
              <w:rFonts w:ascii="仿宋" w:hAnsi="仿宋" w:eastAsia="仿宋"/>
              <w:sz w:val="28"/>
              <w:szCs w:val="36"/>
            </w:rPr>
            <w:t>12</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"_Toc80116040" </w:instrText>
          </w:r>
          <w:r>
            <w:fldChar w:fldCharType="separate"/>
          </w:r>
          <w:r>
            <w:rPr>
              <w:rStyle w:val="19"/>
              <w:rFonts w:ascii="仿宋" w:hAnsi="仿宋" w:eastAsia="仿宋"/>
              <w:sz w:val="28"/>
              <w:szCs w:val="36"/>
            </w:rPr>
            <w:t>第七节  基层社会服务工作不断完善</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_Toc80116040 \h </w:instrText>
          </w:r>
          <w:r>
            <w:rPr>
              <w:rFonts w:ascii="仿宋" w:hAnsi="仿宋" w:eastAsia="仿宋"/>
              <w:sz w:val="28"/>
              <w:szCs w:val="36"/>
            </w:rPr>
            <w:fldChar w:fldCharType="separate"/>
          </w:r>
          <w:r>
            <w:rPr>
              <w:rFonts w:ascii="仿宋" w:hAnsi="仿宋" w:eastAsia="仿宋"/>
              <w:sz w:val="28"/>
              <w:szCs w:val="36"/>
            </w:rPr>
            <w:t>13</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"_Toc80116041" </w:instrText>
          </w:r>
          <w:r>
            <w:fldChar w:fldCharType="separate"/>
          </w:r>
          <w:r>
            <w:rPr>
              <w:rStyle w:val="19"/>
              <w:rFonts w:ascii="仿宋" w:hAnsi="仿宋" w:eastAsia="仿宋"/>
              <w:sz w:val="28"/>
              <w:szCs w:val="36"/>
            </w:rPr>
            <w:t>第八节  社会组织管理工作持续提升</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_Toc80116041 \h </w:instrText>
          </w:r>
          <w:r>
            <w:rPr>
              <w:rFonts w:ascii="仿宋" w:hAnsi="仿宋" w:eastAsia="仿宋"/>
              <w:sz w:val="28"/>
              <w:szCs w:val="36"/>
            </w:rPr>
            <w:fldChar w:fldCharType="separate"/>
          </w:r>
          <w:r>
            <w:rPr>
              <w:rFonts w:ascii="仿宋" w:hAnsi="仿宋" w:eastAsia="仿宋"/>
              <w:sz w:val="28"/>
              <w:szCs w:val="36"/>
            </w:rPr>
            <w:t>14</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"_Toc80116042" </w:instrText>
          </w:r>
          <w:r>
            <w:fldChar w:fldCharType="separate"/>
          </w:r>
          <w:r>
            <w:rPr>
              <w:rStyle w:val="19"/>
              <w:rFonts w:ascii="仿宋" w:hAnsi="仿宋" w:eastAsia="仿宋"/>
              <w:sz w:val="28"/>
              <w:szCs w:val="36"/>
            </w:rPr>
            <w:t>第九节  行政事项服务工作大幅提升</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_Toc80116042 \h </w:instrText>
          </w:r>
          <w:r>
            <w:rPr>
              <w:rFonts w:ascii="仿宋" w:hAnsi="仿宋" w:eastAsia="仿宋"/>
              <w:sz w:val="28"/>
              <w:szCs w:val="36"/>
            </w:rPr>
            <w:fldChar w:fldCharType="separate"/>
          </w:r>
          <w:r>
            <w:rPr>
              <w:rFonts w:ascii="仿宋" w:hAnsi="仿宋" w:eastAsia="仿宋"/>
              <w:sz w:val="28"/>
              <w:szCs w:val="36"/>
            </w:rPr>
            <w:t>14</w:t>
          </w:r>
          <w:r>
            <w:rPr>
              <w:rFonts w:ascii="仿宋" w:hAnsi="仿宋" w:eastAsia="仿宋"/>
              <w:sz w:val="28"/>
              <w:szCs w:val="36"/>
            </w:rPr>
            <w:fldChar w:fldCharType="end"/>
          </w:r>
          <w:r>
            <w:rPr>
              <w:rFonts w:ascii="仿宋" w:hAnsi="仿宋" w:eastAsia="仿宋"/>
              <w:sz w:val="28"/>
              <w:szCs w:val="36"/>
            </w:rPr>
            <w:fldChar w:fldCharType="end"/>
          </w:r>
        </w:p>
        <w:p>
          <w:pPr>
            <w:pStyle w:val="10"/>
            <w:tabs>
              <w:tab w:val="right" w:leader="dot" w:pos="9494"/>
            </w:tabs>
            <w:rPr>
              <w:rFonts w:ascii="仿宋" w:hAnsi="仿宋" w:eastAsia="仿宋" w:cstheme="minorBidi"/>
              <w:sz w:val="28"/>
              <w:szCs w:val="32"/>
            </w:rPr>
          </w:pPr>
          <w:r>
            <w:fldChar w:fldCharType="begin"/>
          </w:r>
          <w:r>
            <w:instrText xml:space="preserve"> HYPERLINK \l "_Toc80116043" </w:instrText>
          </w:r>
          <w:r>
            <w:fldChar w:fldCharType="separate"/>
          </w:r>
          <w:r>
            <w:rPr>
              <w:rStyle w:val="19"/>
              <w:rFonts w:ascii="仿宋" w:hAnsi="仿宋" w:eastAsia="仿宋"/>
              <w:sz w:val="28"/>
              <w:szCs w:val="36"/>
            </w:rPr>
            <w:t>第三章  “十四五”时期民政事业发展主要任务</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_Toc80116043 \h </w:instrText>
          </w:r>
          <w:r>
            <w:rPr>
              <w:rFonts w:ascii="仿宋" w:hAnsi="仿宋" w:eastAsia="仿宋"/>
              <w:sz w:val="28"/>
              <w:szCs w:val="36"/>
            </w:rPr>
            <w:fldChar w:fldCharType="separate"/>
          </w:r>
          <w:r>
            <w:rPr>
              <w:rFonts w:ascii="仿宋" w:hAnsi="仿宋" w:eastAsia="仿宋"/>
              <w:sz w:val="28"/>
              <w:szCs w:val="36"/>
            </w:rPr>
            <w:t>15</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"_Toc80116044" </w:instrText>
          </w:r>
          <w:r>
            <w:fldChar w:fldCharType="separate"/>
          </w:r>
          <w:r>
            <w:rPr>
              <w:rStyle w:val="19"/>
              <w:rFonts w:ascii="仿宋" w:hAnsi="仿宋" w:eastAsia="仿宋"/>
              <w:sz w:val="28"/>
              <w:szCs w:val="36"/>
            </w:rPr>
            <w:t>第一节  社会救助体系</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_Toc80116044 \h </w:instrText>
          </w:r>
          <w:r>
            <w:rPr>
              <w:rFonts w:ascii="仿宋" w:hAnsi="仿宋" w:eastAsia="仿宋"/>
              <w:sz w:val="28"/>
              <w:szCs w:val="36"/>
            </w:rPr>
            <w:fldChar w:fldCharType="separate"/>
          </w:r>
          <w:r>
            <w:rPr>
              <w:rFonts w:ascii="仿宋" w:hAnsi="仿宋" w:eastAsia="仿宋"/>
              <w:sz w:val="28"/>
              <w:szCs w:val="36"/>
            </w:rPr>
            <w:t>15</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"_Toc80116045" </w:instrText>
          </w:r>
          <w:r>
            <w:fldChar w:fldCharType="separate"/>
          </w:r>
          <w:r>
            <w:rPr>
              <w:rStyle w:val="19"/>
              <w:rFonts w:ascii="仿宋" w:hAnsi="仿宋" w:eastAsia="仿宋"/>
              <w:sz w:val="28"/>
              <w:szCs w:val="36"/>
            </w:rPr>
            <w:t>第二节  养老服务体系</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_Toc80116045 \h </w:instrText>
          </w:r>
          <w:r>
            <w:rPr>
              <w:rFonts w:ascii="仿宋" w:hAnsi="仿宋" w:eastAsia="仿宋"/>
              <w:sz w:val="28"/>
              <w:szCs w:val="36"/>
            </w:rPr>
            <w:fldChar w:fldCharType="separate"/>
          </w:r>
          <w:r>
            <w:rPr>
              <w:rFonts w:ascii="仿宋" w:hAnsi="仿宋" w:eastAsia="仿宋"/>
              <w:sz w:val="28"/>
              <w:szCs w:val="36"/>
            </w:rPr>
            <w:t>16</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"_Toc80116046" </w:instrText>
          </w:r>
          <w:r>
            <w:fldChar w:fldCharType="separate"/>
          </w:r>
          <w:r>
            <w:rPr>
              <w:rStyle w:val="19"/>
              <w:rFonts w:ascii="仿宋" w:hAnsi="仿宋" w:eastAsia="仿宋"/>
              <w:sz w:val="28"/>
              <w:szCs w:val="36"/>
            </w:rPr>
            <w:t>第三节  基层社会治理体系</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_Toc80116046 \h </w:instrText>
          </w:r>
          <w:r>
            <w:rPr>
              <w:rFonts w:ascii="仿宋" w:hAnsi="仿宋" w:eastAsia="仿宋"/>
              <w:sz w:val="28"/>
              <w:szCs w:val="36"/>
            </w:rPr>
            <w:fldChar w:fldCharType="separate"/>
          </w:r>
          <w:r>
            <w:rPr>
              <w:rFonts w:ascii="仿宋" w:hAnsi="仿宋" w:eastAsia="仿宋"/>
              <w:sz w:val="28"/>
              <w:szCs w:val="36"/>
            </w:rPr>
            <w:t>20</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"_Toc80116047" </w:instrText>
          </w:r>
          <w:r>
            <w:fldChar w:fldCharType="separate"/>
          </w:r>
          <w:r>
            <w:rPr>
              <w:rStyle w:val="19"/>
              <w:rFonts w:ascii="仿宋" w:hAnsi="仿宋" w:eastAsia="仿宋"/>
              <w:sz w:val="28"/>
              <w:szCs w:val="36"/>
            </w:rPr>
            <w:t>第四节  社会组织管理体系</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_Toc80116047 \h </w:instrText>
          </w:r>
          <w:r>
            <w:rPr>
              <w:rFonts w:ascii="仿宋" w:hAnsi="仿宋" w:eastAsia="仿宋"/>
              <w:sz w:val="28"/>
              <w:szCs w:val="36"/>
            </w:rPr>
            <w:fldChar w:fldCharType="separate"/>
          </w:r>
          <w:r>
            <w:rPr>
              <w:rFonts w:ascii="仿宋" w:hAnsi="仿宋" w:eastAsia="仿宋"/>
              <w:sz w:val="28"/>
              <w:szCs w:val="36"/>
            </w:rPr>
            <w:t>21</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"_Toc80116048" </w:instrText>
          </w:r>
          <w:r>
            <w:fldChar w:fldCharType="separate"/>
          </w:r>
          <w:r>
            <w:rPr>
              <w:rStyle w:val="19"/>
              <w:rFonts w:ascii="仿宋" w:hAnsi="仿宋" w:eastAsia="仿宋"/>
              <w:sz w:val="28"/>
              <w:szCs w:val="36"/>
            </w:rPr>
            <w:t>第五节  儿童福利服务体系</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_Toc80116048 \h </w:instrText>
          </w:r>
          <w:r>
            <w:rPr>
              <w:rFonts w:ascii="仿宋" w:hAnsi="仿宋" w:eastAsia="仿宋"/>
              <w:sz w:val="28"/>
              <w:szCs w:val="36"/>
            </w:rPr>
            <w:fldChar w:fldCharType="separate"/>
          </w:r>
          <w:r>
            <w:rPr>
              <w:rFonts w:ascii="仿宋" w:hAnsi="仿宋" w:eastAsia="仿宋"/>
              <w:sz w:val="28"/>
              <w:szCs w:val="36"/>
            </w:rPr>
            <w:t>21</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"_Toc80116049" </w:instrText>
          </w:r>
          <w:r>
            <w:fldChar w:fldCharType="separate"/>
          </w:r>
          <w:r>
            <w:rPr>
              <w:rStyle w:val="19"/>
              <w:rFonts w:ascii="仿宋" w:hAnsi="仿宋" w:eastAsia="仿宋"/>
              <w:sz w:val="28"/>
              <w:szCs w:val="36"/>
            </w:rPr>
            <w:t>第六节  慈善事业和社会工作体系</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_Toc80116049 \h </w:instrText>
          </w:r>
          <w:r>
            <w:rPr>
              <w:rFonts w:ascii="仿宋" w:hAnsi="仿宋" w:eastAsia="仿宋"/>
              <w:sz w:val="28"/>
              <w:szCs w:val="36"/>
            </w:rPr>
            <w:fldChar w:fldCharType="separate"/>
          </w:r>
          <w:r>
            <w:rPr>
              <w:rFonts w:ascii="仿宋" w:hAnsi="仿宋" w:eastAsia="仿宋"/>
              <w:sz w:val="28"/>
              <w:szCs w:val="36"/>
            </w:rPr>
            <w:t>22</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"_Toc80116050" </w:instrText>
          </w:r>
          <w:r>
            <w:fldChar w:fldCharType="separate"/>
          </w:r>
          <w:r>
            <w:rPr>
              <w:rStyle w:val="19"/>
              <w:rFonts w:ascii="仿宋" w:hAnsi="仿宋" w:eastAsia="仿宋"/>
              <w:sz w:val="28"/>
              <w:szCs w:val="36"/>
            </w:rPr>
            <w:t>第七节  区划和地名公共服务体系</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_Toc80116050 \h </w:instrText>
          </w:r>
          <w:r>
            <w:rPr>
              <w:rFonts w:ascii="仿宋" w:hAnsi="仿宋" w:eastAsia="仿宋"/>
              <w:sz w:val="28"/>
              <w:szCs w:val="36"/>
            </w:rPr>
            <w:fldChar w:fldCharType="separate"/>
          </w:r>
          <w:r>
            <w:rPr>
              <w:rFonts w:ascii="仿宋" w:hAnsi="仿宋" w:eastAsia="仿宋"/>
              <w:sz w:val="28"/>
              <w:szCs w:val="36"/>
            </w:rPr>
            <w:t>23</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"_Toc80116051" </w:instrText>
          </w:r>
          <w:r>
            <w:fldChar w:fldCharType="separate"/>
          </w:r>
          <w:r>
            <w:rPr>
              <w:rStyle w:val="19"/>
              <w:rFonts w:ascii="仿宋" w:hAnsi="仿宋" w:eastAsia="仿宋"/>
              <w:sz w:val="28"/>
              <w:szCs w:val="36"/>
            </w:rPr>
            <w:t>第八节  社会事务管理体系</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_Toc80116051 \h </w:instrText>
          </w:r>
          <w:r>
            <w:rPr>
              <w:rFonts w:ascii="仿宋" w:hAnsi="仿宋" w:eastAsia="仿宋"/>
              <w:sz w:val="28"/>
              <w:szCs w:val="36"/>
            </w:rPr>
            <w:fldChar w:fldCharType="separate"/>
          </w:r>
          <w:r>
            <w:rPr>
              <w:rFonts w:ascii="仿宋" w:hAnsi="仿宋" w:eastAsia="仿宋"/>
              <w:sz w:val="28"/>
              <w:szCs w:val="36"/>
            </w:rPr>
            <w:t>24</w:t>
          </w:r>
          <w:r>
            <w:rPr>
              <w:rFonts w:ascii="仿宋" w:hAnsi="仿宋" w:eastAsia="仿宋"/>
              <w:sz w:val="28"/>
              <w:szCs w:val="36"/>
            </w:rPr>
            <w:fldChar w:fldCharType="end"/>
          </w:r>
          <w:r>
            <w:rPr>
              <w:rFonts w:ascii="仿宋" w:hAnsi="仿宋" w:eastAsia="仿宋"/>
              <w:sz w:val="28"/>
              <w:szCs w:val="36"/>
            </w:rPr>
            <w:fldChar w:fldCharType="end"/>
          </w:r>
        </w:p>
        <w:p>
          <w:pPr>
            <w:pStyle w:val="11"/>
            <w:rPr>
              <w:rFonts w:ascii="仿宋" w:hAnsi="仿宋" w:eastAsia="仿宋" w:cstheme="minorBidi"/>
              <w:sz w:val="28"/>
              <w:szCs w:val="32"/>
            </w:rPr>
          </w:pPr>
          <w:r>
            <w:fldChar w:fldCharType="begin"/>
          </w:r>
          <w:r>
            <w:instrText xml:space="preserve"> HYPERLINK \l "_Toc80116052" </w:instrText>
          </w:r>
          <w:r>
            <w:fldChar w:fldCharType="separate"/>
          </w:r>
          <w:r>
            <w:rPr>
              <w:rStyle w:val="19"/>
              <w:rFonts w:ascii="仿宋" w:hAnsi="仿宋" w:eastAsia="仿宋"/>
              <w:sz w:val="28"/>
              <w:szCs w:val="36"/>
            </w:rPr>
            <w:t>第九节  重大项目谋划实施</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_Toc80116052 \h </w:instrText>
          </w:r>
          <w:r>
            <w:rPr>
              <w:rFonts w:ascii="仿宋" w:hAnsi="仿宋" w:eastAsia="仿宋"/>
              <w:sz w:val="28"/>
              <w:szCs w:val="36"/>
            </w:rPr>
            <w:fldChar w:fldCharType="separate"/>
          </w:r>
          <w:r>
            <w:rPr>
              <w:rFonts w:ascii="仿宋" w:hAnsi="仿宋" w:eastAsia="仿宋"/>
              <w:sz w:val="28"/>
              <w:szCs w:val="36"/>
            </w:rPr>
            <w:t>26</w:t>
          </w:r>
          <w:r>
            <w:rPr>
              <w:rFonts w:ascii="仿宋" w:hAnsi="仿宋" w:eastAsia="仿宋"/>
              <w:sz w:val="28"/>
              <w:szCs w:val="36"/>
            </w:rPr>
            <w:fldChar w:fldCharType="end"/>
          </w:r>
          <w:r>
            <w:rPr>
              <w:rFonts w:ascii="仿宋" w:hAnsi="仿宋" w:eastAsia="仿宋"/>
              <w:sz w:val="28"/>
              <w:szCs w:val="36"/>
            </w:rPr>
            <w:fldChar w:fldCharType="end"/>
          </w:r>
        </w:p>
        <w:p>
          <w:pPr>
            <w:pStyle w:val="10"/>
            <w:tabs>
              <w:tab w:val="right" w:leader="dot" w:pos="9494"/>
            </w:tabs>
            <w:rPr>
              <w:rFonts w:ascii="仿宋" w:hAnsi="仿宋" w:eastAsia="仿宋" w:cstheme="minorBidi"/>
              <w:sz w:val="28"/>
              <w:szCs w:val="32"/>
            </w:rPr>
          </w:pPr>
          <w:r>
            <w:fldChar w:fldCharType="begin"/>
          </w:r>
          <w:r>
            <w:instrText xml:space="preserve"> HYPERLINK \l "_Toc80116053" </w:instrText>
          </w:r>
          <w:r>
            <w:fldChar w:fldCharType="separate"/>
          </w:r>
          <w:r>
            <w:rPr>
              <w:rStyle w:val="19"/>
              <w:rFonts w:ascii="仿宋" w:hAnsi="仿宋" w:eastAsia="仿宋"/>
              <w:sz w:val="28"/>
              <w:szCs w:val="36"/>
            </w:rPr>
            <w:t>第四章  保障措施</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_Toc80116053 \h </w:instrText>
          </w:r>
          <w:r>
            <w:rPr>
              <w:rFonts w:ascii="仿宋" w:hAnsi="仿宋" w:eastAsia="仿宋"/>
              <w:sz w:val="28"/>
              <w:szCs w:val="36"/>
            </w:rPr>
            <w:fldChar w:fldCharType="separate"/>
          </w:r>
          <w:r>
            <w:rPr>
              <w:rFonts w:ascii="仿宋" w:hAnsi="仿宋" w:eastAsia="仿宋"/>
              <w:sz w:val="28"/>
              <w:szCs w:val="36"/>
            </w:rPr>
            <w:t>28</w:t>
          </w:r>
          <w:r>
            <w:rPr>
              <w:rFonts w:ascii="仿宋" w:hAnsi="仿宋" w:eastAsia="仿宋"/>
              <w:sz w:val="28"/>
              <w:szCs w:val="36"/>
            </w:rPr>
            <w:fldChar w:fldCharType="end"/>
          </w:r>
          <w:r>
            <w:rPr>
              <w:rFonts w:ascii="仿宋" w:hAnsi="仿宋" w:eastAsia="仿宋"/>
              <w:sz w:val="28"/>
              <w:szCs w:val="36"/>
            </w:rPr>
            <w:fldChar w:fldCharType="end"/>
          </w:r>
        </w:p>
        <w:p>
          <w:pPr>
            <w:pStyle w:val="10"/>
            <w:tabs>
              <w:tab w:val="right" w:leader="dot" w:pos="9494"/>
            </w:tabs>
            <w:rPr>
              <w:rFonts w:asciiTheme="minorHAnsi" w:hAnsiTheme="minorHAnsi" w:eastAsiaTheme="minorEastAsia" w:cstheme="minorBidi"/>
              <w:szCs w:val="22"/>
            </w:rPr>
          </w:pPr>
          <w:r>
            <w:fldChar w:fldCharType="begin"/>
          </w:r>
          <w:r>
            <w:instrText xml:space="preserve"> HYPERLINK \l "_Toc80116054" </w:instrText>
          </w:r>
          <w:r>
            <w:fldChar w:fldCharType="separate"/>
          </w:r>
          <w:r>
            <w:rPr>
              <w:rStyle w:val="19"/>
              <w:rFonts w:ascii="仿宋" w:hAnsi="仿宋" w:eastAsia="仿宋"/>
              <w:sz w:val="28"/>
              <w:szCs w:val="36"/>
            </w:rPr>
            <w:t>附  图</w:t>
          </w:r>
          <w:r>
            <w:rPr>
              <w:rFonts w:ascii="仿宋" w:hAnsi="仿宋" w:eastAsia="仿宋"/>
              <w:sz w:val="28"/>
              <w:szCs w:val="36"/>
            </w:rPr>
            <w:tab/>
          </w:r>
          <w:r>
            <w:rPr>
              <w:rFonts w:ascii="仿宋" w:hAnsi="仿宋" w:eastAsia="仿宋"/>
              <w:sz w:val="28"/>
              <w:szCs w:val="36"/>
            </w:rPr>
            <w:fldChar w:fldCharType="begin"/>
          </w:r>
          <w:r>
            <w:rPr>
              <w:rFonts w:ascii="仿宋" w:hAnsi="仿宋" w:eastAsia="仿宋"/>
              <w:sz w:val="28"/>
              <w:szCs w:val="36"/>
            </w:rPr>
            <w:instrText xml:space="preserve"> PAGEREF _Toc80116054 \h </w:instrText>
          </w:r>
          <w:r>
            <w:rPr>
              <w:rFonts w:ascii="仿宋" w:hAnsi="仿宋" w:eastAsia="仿宋"/>
              <w:sz w:val="28"/>
              <w:szCs w:val="36"/>
            </w:rPr>
            <w:fldChar w:fldCharType="separate"/>
          </w:r>
          <w:r>
            <w:rPr>
              <w:rFonts w:ascii="仿宋" w:hAnsi="仿宋" w:eastAsia="仿宋"/>
              <w:sz w:val="28"/>
              <w:szCs w:val="36"/>
            </w:rPr>
            <w:t>30</w:t>
          </w:r>
          <w:r>
            <w:rPr>
              <w:rFonts w:ascii="仿宋" w:hAnsi="仿宋" w:eastAsia="仿宋"/>
              <w:sz w:val="28"/>
              <w:szCs w:val="36"/>
            </w:rPr>
            <w:fldChar w:fldCharType="end"/>
          </w:r>
          <w:r>
            <w:rPr>
              <w:rFonts w:ascii="仿宋" w:hAnsi="仿宋" w:eastAsia="仿宋"/>
              <w:sz w:val="28"/>
              <w:szCs w:val="36"/>
            </w:rPr>
            <w:fldChar w:fldCharType="end"/>
          </w:r>
        </w:p>
        <w:p>
          <w:pPr>
            <w:pStyle w:val="10"/>
            <w:tabs>
              <w:tab w:val="right" w:leader="dot" w:pos="9494"/>
            </w:tabs>
            <w:rPr>
              <w:rFonts w:ascii="仿宋" w:hAnsi="仿宋" w:eastAsia="仿宋"/>
              <w:sz w:val="28"/>
              <w:szCs w:val="36"/>
            </w:rPr>
          </w:pPr>
          <w:r>
            <w:rPr>
              <w:rFonts w:ascii="仿宋" w:hAnsi="仿宋" w:eastAsia="仿宋"/>
              <w:b/>
              <w:bCs/>
              <w:sz w:val="32"/>
              <w:szCs w:val="32"/>
              <w:lang w:val="zh-CN"/>
            </w:rPr>
            <w:fldChar w:fldCharType="end"/>
          </w:r>
          <w:r>
            <w:fldChar w:fldCharType="begin"/>
          </w:r>
          <w:r>
            <w:instrText xml:space="preserve"> HYPERLINK \l "_Toc80116054" </w:instrText>
          </w:r>
          <w:r>
            <w:fldChar w:fldCharType="separate"/>
          </w:r>
          <w:r>
            <w:rPr>
              <w:rStyle w:val="19"/>
              <w:rFonts w:ascii="仿宋" w:hAnsi="仿宋" w:eastAsia="仿宋"/>
              <w:color w:val="auto"/>
              <w:sz w:val="28"/>
              <w:szCs w:val="36"/>
              <w:u w:val="none"/>
            </w:rPr>
            <w:t xml:space="preserve">附  </w:t>
          </w:r>
          <w:r>
            <w:rPr>
              <w:rStyle w:val="19"/>
              <w:rFonts w:hint="eastAsia" w:ascii="仿宋" w:hAnsi="仿宋" w:eastAsia="仿宋"/>
              <w:color w:val="auto"/>
              <w:sz w:val="28"/>
              <w:szCs w:val="36"/>
              <w:u w:val="none"/>
            </w:rPr>
            <w:t>表</w:t>
          </w:r>
          <w:r>
            <w:rPr>
              <w:rFonts w:ascii="仿宋" w:hAnsi="仿宋" w:eastAsia="仿宋"/>
              <w:sz w:val="28"/>
              <w:szCs w:val="36"/>
            </w:rPr>
            <w:tab/>
          </w:r>
          <w:r>
            <w:rPr>
              <w:rFonts w:ascii="仿宋" w:hAnsi="仿宋" w:eastAsia="仿宋"/>
              <w:sz w:val="28"/>
              <w:szCs w:val="36"/>
            </w:rPr>
            <w:t>56</w:t>
          </w:r>
          <w:r>
            <w:rPr>
              <w:rFonts w:ascii="仿宋" w:hAnsi="仿宋" w:eastAsia="仿宋"/>
              <w:sz w:val="28"/>
              <w:szCs w:val="36"/>
            </w:rPr>
            <w:fldChar w:fldCharType="end"/>
          </w:r>
        </w:p>
        <w:p>
          <w:pPr>
            <w:spacing w:line="360" w:lineRule="auto"/>
            <w:rPr>
              <w:rFonts w:ascii="仿宋" w:hAnsi="仿宋" w:eastAsia="仿宋"/>
              <w:sz w:val="32"/>
              <w:szCs w:val="32"/>
            </w:rPr>
            <w:sectPr>
              <w:pgSz w:w="23811" w:h="16838" w:orient="landscape"/>
              <w:pgMar w:top="1587" w:right="2098" w:bottom="1474" w:left="1984" w:header="851" w:footer="992" w:gutter="0"/>
              <w:pgNumType w:start="1"/>
              <w:cols w:space="720" w:num="2"/>
              <w:docGrid w:type="lines" w:linePitch="312" w:charSpace="0"/>
            </w:sectPr>
          </w:pPr>
        </w:p>
      </w:sdtContent>
    </w:sdt>
    <w:p>
      <w:pPr>
        <w:pStyle w:val="2"/>
        <w:rPr>
          <w:rFonts w:hint="default"/>
        </w:rPr>
      </w:pPr>
      <w:bookmarkStart w:id="2" w:name="_Toc80116025"/>
      <w:bookmarkStart w:id="3" w:name="_Toc30099"/>
      <w:r>
        <w:t>前  言</w:t>
      </w:r>
      <w:bookmarkEnd w:id="2"/>
      <w:bookmarkEnd w:id="3"/>
    </w:p>
    <w:p>
      <w:pPr>
        <w:pStyle w:val="12"/>
        <w:widowControl/>
        <w:spacing w:after="300" w:line="560" w:lineRule="exact"/>
        <w:ind w:firstLine="638" w:firstLineChars="228"/>
        <w:rPr>
          <w:rFonts w:ascii="仿宋" w:hAnsi="仿宋" w:eastAsia="仿宋" w:cs="仿宋"/>
          <w:sz w:val="28"/>
          <w:szCs w:val="28"/>
        </w:rPr>
      </w:pPr>
      <w:r>
        <w:rPr>
          <w:rFonts w:hint="eastAsia" w:ascii="仿宋" w:hAnsi="仿宋" w:eastAsia="仿宋" w:cs="仿宋"/>
          <w:sz w:val="28"/>
          <w:szCs w:val="28"/>
        </w:rPr>
        <w:t>“十四五”时期是我国全面建成小康社会、实现第一个百年奋斗目标之后，乘胜而上开启全面建设社会主义现代化国家新征程、向第二个百年奋斗目标进军的第一个五年。编制“十四五”规划，对谋划今后五年焦作民政事业发展具有十分重要的意义。根据</w:t>
      </w:r>
      <w:r>
        <w:rPr>
          <w:rFonts w:ascii="仿宋" w:hAnsi="仿宋" w:eastAsia="仿宋" w:cs="仿宋"/>
          <w:sz w:val="28"/>
          <w:szCs w:val="28"/>
        </w:rPr>
        <w:t>民政部</w:t>
      </w:r>
      <w:r>
        <w:rPr>
          <w:rFonts w:hint="eastAsia" w:ascii="仿宋" w:hAnsi="仿宋" w:eastAsia="仿宋" w:cs="仿宋"/>
          <w:sz w:val="28"/>
          <w:szCs w:val="28"/>
        </w:rPr>
        <w:t>、</w:t>
      </w:r>
      <w:r>
        <w:rPr>
          <w:rFonts w:ascii="仿宋" w:hAnsi="仿宋" w:eastAsia="仿宋" w:cs="仿宋"/>
          <w:sz w:val="28"/>
          <w:szCs w:val="28"/>
        </w:rPr>
        <w:t>国家发展和改革委员会</w:t>
      </w:r>
      <w:r>
        <w:rPr>
          <w:rFonts w:hint="eastAsia" w:ascii="仿宋" w:hAnsi="仿宋" w:eastAsia="仿宋" w:cs="仿宋"/>
          <w:sz w:val="28"/>
          <w:szCs w:val="28"/>
        </w:rPr>
        <w:t>印发的</w:t>
      </w:r>
      <w:r>
        <w:rPr>
          <w:rFonts w:ascii="仿宋" w:hAnsi="仿宋" w:eastAsia="仿宋" w:cs="仿宋"/>
          <w:sz w:val="28"/>
          <w:szCs w:val="28"/>
        </w:rPr>
        <w:t>《“十四五”民政事业发展规划》</w:t>
      </w:r>
      <w:r>
        <w:rPr>
          <w:rFonts w:hint="eastAsia" w:ascii="仿宋" w:hAnsi="仿宋" w:eastAsia="仿宋" w:cs="仿宋"/>
          <w:sz w:val="28"/>
          <w:szCs w:val="28"/>
        </w:rPr>
        <w:t>《河南省“十四五”民政事业发展规划》（待发布）和《焦作市国民经济和社会发展第十四个五年规划和二〇三五年远景目标纲要》，紧跟中央、省、市关于民政工作的有关要求和发展方向，结合我市实际，制定本规划。</w:t>
      </w:r>
    </w:p>
    <w:p>
      <w:pPr>
        <w:pStyle w:val="2"/>
        <w:rPr>
          <w:rFonts w:hint="default"/>
        </w:rPr>
      </w:pPr>
      <w:r>
        <w:rPr>
          <w:rFonts w:ascii="仿宋" w:hAnsi="仿宋" w:eastAsia="仿宋" w:cs="仿宋"/>
          <w:sz w:val="28"/>
          <w:szCs w:val="28"/>
        </w:rPr>
        <w:br w:type="column"/>
      </w:r>
      <w:bookmarkStart w:id="4" w:name="_Toc80116026"/>
      <w:r>
        <w:t xml:space="preserve">第一章 </w:t>
      </w:r>
      <w:r>
        <w:rPr>
          <w:rFonts w:hint="default"/>
        </w:rPr>
        <w:t xml:space="preserve"> </w:t>
      </w:r>
      <w:r>
        <w:t>总则</w:t>
      </w:r>
      <w:bookmarkEnd w:id="4"/>
    </w:p>
    <w:p>
      <w:pPr>
        <w:pStyle w:val="3"/>
      </w:pPr>
      <w:bookmarkStart w:id="5" w:name="_Toc80116027"/>
      <w:r>
        <w:rPr>
          <w:rFonts w:hint="eastAsia"/>
        </w:rPr>
        <w:t xml:space="preserve">第一节 </w:t>
      </w:r>
      <w:r>
        <w:t xml:space="preserve"> </w:t>
      </w:r>
      <w:r>
        <w:rPr>
          <w:rFonts w:hint="eastAsia"/>
        </w:rPr>
        <w:t>指导思想</w:t>
      </w:r>
      <w:bookmarkEnd w:id="5"/>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以习近平新时代中国特色社会主义思想为指导，深入贯彻落实党的十九大和十九届二中、三中、四中、五中全会精神，第十四次全国民政会议精神，第十八次全省民政会议精神，坚决执行落实国、省、市重大决策部署，坚持和加强党的全面领导，践行以人民为中心的发展思想，践行“民政为民、民政爱民”工作理念，围绕“提标扩面、提质增效、融合工治、强基固本”工作路线，聚焦脱贫攻坚，聚焦特殊群体，聚焦群众关切,更好履行基本民生保障、基层社会治理、基本社会服务等职责,建设高质量推动民政事业高质量发展，谱写新时代焦作民政事业绚丽篇章。</w:t>
      </w:r>
    </w:p>
    <w:p>
      <w:pPr>
        <w:pStyle w:val="3"/>
      </w:pPr>
      <w:bookmarkStart w:id="6" w:name="_Toc80116028"/>
      <w:r>
        <w:rPr>
          <w:rFonts w:hint="eastAsia"/>
        </w:rPr>
        <w:t xml:space="preserve">第二节 </w:t>
      </w:r>
      <w:r>
        <w:t xml:space="preserve"> </w:t>
      </w:r>
      <w:r>
        <w:rPr>
          <w:rFonts w:hint="eastAsia"/>
        </w:rPr>
        <w:t>基本原则</w:t>
      </w:r>
      <w:bookmarkEnd w:id="6"/>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1.以人为本，保障民生。紧紧</w:t>
      </w:r>
      <w:r>
        <w:rPr>
          <w:rFonts w:ascii="仿宋" w:hAnsi="仿宋" w:eastAsia="仿宋" w:cs="仿宋"/>
          <w:sz w:val="28"/>
          <w:szCs w:val="28"/>
        </w:rPr>
        <w:t>围绕国民经济和社会发展全</w:t>
      </w:r>
      <w:r>
        <w:rPr>
          <w:rFonts w:hint="eastAsia" w:ascii="仿宋" w:hAnsi="仿宋" w:eastAsia="仿宋" w:cs="仿宋"/>
          <w:sz w:val="28"/>
          <w:szCs w:val="28"/>
        </w:rPr>
        <w:t>局，从广大人民最根本利益出发谋发展</w:t>
      </w:r>
      <w:r>
        <w:rPr>
          <w:rFonts w:ascii="仿宋" w:hAnsi="仿宋" w:eastAsia="仿宋" w:cs="仿宋"/>
          <w:sz w:val="28"/>
          <w:szCs w:val="28"/>
        </w:rPr>
        <w:t>,促发展。以保障和改善</w:t>
      </w:r>
      <w:r>
        <w:rPr>
          <w:rFonts w:hint="eastAsia" w:ascii="仿宋" w:hAnsi="仿宋" w:eastAsia="仿宋" w:cs="仿宋"/>
          <w:sz w:val="28"/>
          <w:szCs w:val="28"/>
        </w:rPr>
        <w:t>民生为核心</w:t>
      </w:r>
      <w:r>
        <w:rPr>
          <w:rFonts w:ascii="仿宋" w:hAnsi="仿宋" w:eastAsia="仿宋" w:cs="仿宋"/>
          <w:sz w:val="28"/>
          <w:szCs w:val="28"/>
        </w:rPr>
        <w:t>,发展社会服务,提高社会服务水平,满足人民</w:t>
      </w:r>
      <w:r>
        <w:rPr>
          <w:rFonts w:hint="eastAsia" w:ascii="仿宋" w:hAnsi="仿宋" w:eastAsia="仿宋" w:cs="仿宋"/>
          <w:sz w:val="28"/>
          <w:szCs w:val="28"/>
        </w:rPr>
        <w:t>群</w:t>
      </w:r>
      <w:r>
        <w:rPr>
          <w:rFonts w:ascii="仿宋" w:hAnsi="仿宋" w:eastAsia="仿宋" w:cs="仿宋"/>
          <w:sz w:val="28"/>
          <w:szCs w:val="28"/>
        </w:rPr>
        <w:t>众</w:t>
      </w:r>
      <w:r>
        <w:rPr>
          <w:rFonts w:hint="eastAsia" w:ascii="仿宋" w:hAnsi="仿宋" w:eastAsia="仿宋" w:cs="仿宋"/>
          <w:sz w:val="28"/>
          <w:szCs w:val="28"/>
        </w:rPr>
        <w:t>社会服务需求。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2.统筹兼顾、突出重点。坚持城乡、区域全面协调发展</w:t>
      </w:r>
      <w:r>
        <w:rPr>
          <w:rFonts w:ascii="仿宋" w:hAnsi="仿宋" w:eastAsia="仿宋" w:cs="仿宋"/>
          <w:sz w:val="28"/>
          <w:szCs w:val="28"/>
        </w:rPr>
        <w:t>,</w:t>
      </w:r>
      <w:r>
        <w:rPr>
          <w:rFonts w:hint="eastAsia" w:ascii="仿宋" w:hAnsi="仿宋" w:eastAsia="仿宋" w:cs="仿宋"/>
          <w:sz w:val="28"/>
          <w:szCs w:val="28"/>
        </w:rPr>
        <w:t>加大对农村地区、贫困地区</w:t>
      </w:r>
      <w:r>
        <w:rPr>
          <w:rFonts w:ascii="仿宋" w:hAnsi="仿宋" w:eastAsia="仿宋" w:cs="仿宋"/>
          <w:sz w:val="28"/>
          <w:szCs w:val="28"/>
        </w:rPr>
        <w:t>民政事业发展和基础设施建设支持力</w:t>
      </w:r>
      <w:r>
        <w:rPr>
          <w:rFonts w:hint="eastAsia" w:ascii="仿宋" w:hAnsi="仿宋" w:eastAsia="仿宋" w:cs="仿宋"/>
          <w:sz w:val="28"/>
          <w:szCs w:val="28"/>
        </w:rPr>
        <w:t>度</w:t>
      </w:r>
      <w:r>
        <w:rPr>
          <w:rFonts w:ascii="仿宋" w:hAnsi="仿宋" w:eastAsia="仿宋" w:cs="仿宋"/>
          <w:sz w:val="28"/>
          <w:szCs w:val="28"/>
        </w:rPr>
        <w:t>,统筹各项业务工作,科学规划民政事业发展总体布局,</w:t>
      </w:r>
      <w:r>
        <w:rPr>
          <w:rFonts w:hint="eastAsia" w:ascii="仿宋" w:hAnsi="仿宋" w:eastAsia="仿宋" w:cs="仿宋"/>
          <w:sz w:val="28"/>
          <w:szCs w:val="28"/>
        </w:rPr>
        <w:t>整体推进民政事业健康发展。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3.政府主导、社会参与。坚持政府提供民政社会服务的主体意识和责任意识</w:t>
      </w:r>
      <w:r>
        <w:rPr>
          <w:rFonts w:ascii="仿宋" w:hAnsi="仿宋" w:eastAsia="仿宋" w:cs="仿宋"/>
          <w:sz w:val="28"/>
          <w:szCs w:val="28"/>
        </w:rPr>
        <w:t>,探索</w:t>
      </w:r>
      <w:r>
        <w:rPr>
          <w:rFonts w:hint="eastAsia" w:ascii="仿宋" w:hAnsi="仿宋" w:eastAsia="仿宋" w:cs="仿宋"/>
          <w:sz w:val="28"/>
          <w:szCs w:val="28"/>
        </w:rPr>
        <w:t>政府主导、</w:t>
      </w:r>
      <w:r>
        <w:rPr>
          <w:rFonts w:ascii="仿宋" w:hAnsi="仿宋" w:eastAsia="仿宋" w:cs="仿宋"/>
          <w:sz w:val="28"/>
          <w:szCs w:val="28"/>
        </w:rPr>
        <w:t>部门协调、社会参与的多层</w:t>
      </w:r>
      <w:r>
        <w:rPr>
          <w:rFonts w:hint="eastAsia" w:ascii="仿宋" w:hAnsi="仿宋" w:eastAsia="仿宋" w:cs="仿宋"/>
          <w:sz w:val="28"/>
          <w:szCs w:val="28"/>
        </w:rPr>
        <w:t>次、多样化的民政事业发展供给机制。将民间资本和社会组织进入社会服务领域</w:t>
      </w:r>
      <w:r>
        <w:rPr>
          <w:rFonts w:ascii="仿宋" w:hAnsi="仿宋" w:eastAsia="仿宋" w:cs="仿宋"/>
          <w:sz w:val="28"/>
          <w:szCs w:val="28"/>
        </w:rPr>
        <w:t>,鼓励公平有序</w:t>
      </w:r>
      <w:r>
        <w:rPr>
          <w:rFonts w:hint="eastAsia" w:ascii="仿宋" w:hAnsi="仿宋" w:eastAsia="仿宋" w:cs="仿宋"/>
          <w:sz w:val="28"/>
          <w:szCs w:val="28"/>
        </w:rPr>
        <w:t>竞争</w:t>
      </w:r>
      <w:r>
        <w:rPr>
          <w:rFonts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w:t>
      </w:r>
      <w:r>
        <w:rPr>
          <w:rFonts w:ascii="仿宋" w:hAnsi="仿宋" w:eastAsia="仿宋" w:cs="仿宋"/>
          <w:sz w:val="28"/>
          <w:szCs w:val="28"/>
        </w:rPr>
        <w:t>改</w:t>
      </w:r>
      <w:r>
        <w:rPr>
          <w:rFonts w:hint="eastAsia" w:ascii="仿宋" w:hAnsi="仿宋" w:eastAsia="仿宋" w:cs="仿宋"/>
          <w:sz w:val="28"/>
          <w:szCs w:val="28"/>
        </w:rPr>
        <w:t>革</w:t>
      </w:r>
      <w:r>
        <w:rPr>
          <w:rFonts w:ascii="仿宋" w:hAnsi="仿宋" w:eastAsia="仿宋" w:cs="仿宋"/>
          <w:sz w:val="28"/>
          <w:szCs w:val="28"/>
        </w:rPr>
        <w:t>创新、</w:t>
      </w:r>
      <w:r>
        <w:rPr>
          <w:rFonts w:hint="eastAsia" w:ascii="仿宋" w:hAnsi="仿宋" w:eastAsia="仿宋" w:cs="仿宋"/>
          <w:sz w:val="28"/>
          <w:szCs w:val="28"/>
        </w:rPr>
        <w:t>完善</w:t>
      </w:r>
      <w:r>
        <w:rPr>
          <w:rFonts w:ascii="仿宋" w:hAnsi="仿宋" w:eastAsia="仿宋" w:cs="仿宋"/>
          <w:sz w:val="28"/>
          <w:szCs w:val="28"/>
        </w:rPr>
        <w:t>制度。</w:t>
      </w:r>
      <w:r>
        <w:rPr>
          <w:rFonts w:hint="eastAsia" w:ascii="仿宋" w:hAnsi="仿宋" w:eastAsia="仿宋" w:cs="仿宋"/>
          <w:sz w:val="28"/>
          <w:szCs w:val="28"/>
        </w:rPr>
        <w:t>坚持</w:t>
      </w:r>
      <w:r>
        <w:rPr>
          <w:rFonts w:ascii="仿宋" w:hAnsi="仿宋" w:eastAsia="仿宋" w:cs="仿宋"/>
          <w:sz w:val="28"/>
          <w:szCs w:val="28"/>
        </w:rPr>
        <w:t>管理体制、</w:t>
      </w:r>
      <w:r>
        <w:rPr>
          <w:rFonts w:hint="eastAsia" w:ascii="仿宋" w:hAnsi="仿宋" w:eastAsia="仿宋" w:cs="仿宋"/>
          <w:sz w:val="28"/>
          <w:szCs w:val="28"/>
        </w:rPr>
        <w:t>投</w:t>
      </w:r>
      <w:r>
        <w:rPr>
          <w:rFonts w:ascii="仿宋" w:hAnsi="仿宋" w:eastAsia="仿宋" w:cs="仿宋"/>
          <w:sz w:val="28"/>
          <w:szCs w:val="28"/>
        </w:rPr>
        <w:t>入机制、运行</w:t>
      </w:r>
      <w:r>
        <w:rPr>
          <w:rFonts w:hint="eastAsia" w:ascii="仿宋" w:hAnsi="仿宋" w:eastAsia="仿宋" w:cs="仿宋"/>
          <w:sz w:val="28"/>
          <w:szCs w:val="28"/>
        </w:rPr>
        <w:t>模式和政策制度改革创新</w:t>
      </w:r>
      <w:r>
        <w:rPr>
          <w:rFonts w:ascii="仿宋" w:hAnsi="仿宋" w:eastAsia="仿宋" w:cs="仿宋"/>
          <w:sz w:val="28"/>
          <w:szCs w:val="28"/>
        </w:rPr>
        <w:t>,坚持</w:t>
      </w:r>
      <w:r>
        <w:rPr>
          <w:rFonts w:hint="eastAsia" w:ascii="仿宋" w:hAnsi="仿宋" w:eastAsia="仿宋" w:cs="仿宋"/>
          <w:sz w:val="28"/>
          <w:szCs w:val="28"/>
        </w:rPr>
        <w:t>因地制宜、</w:t>
      </w:r>
      <w:r>
        <w:rPr>
          <w:rFonts w:ascii="仿宋" w:hAnsi="仿宋" w:eastAsia="仿宋" w:cs="仿宋"/>
          <w:sz w:val="28"/>
          <w:szCs w:val="28"/>
        </w:rPr>
        <w:t>分类指导</w:t>
      </w:r>
      <w:r>
        <w:rPr>
          <w:rFonts w:hint="eastAsia" w:ascii="仿宋" w:hAnsi="仿宋" w:eastAsia="仿宋" w:cs="仿宋"/>
          <w:sz w:val="28"/>
          <w:szCs w:val="28"/>
        </w:rPr>
        <w:t>，</w:t>
      </w:r>
      <w:r>
        <w:rPr>
          <w:rFonts w:ascii="仿宋" w:hAnsi="仿宋" w:eastAsia="仿宋" w:cs="仿宋"/>
          <w:sz w:val="28"/>
          <w:szCs w:val="28"/>
        </w:rPr>
        <w:t>形成更加</w:t>
      </w:r>
      <w:r>
        <w:rPr>
          <w:rFonts w:hint="eastAsia" w:ascii="仿宋" w:hAnsi="仿宋" w:eastAsia="仿宋" w:cs="仿宋"/>
          <w:sz w:val="28"/>
          <w:szCs w:val="28"/>
        </w:rPr>
        <w:t>有利于民政事业发展的体制机制。不断拓展工作领域、培育创新典型</w:t>
      </w:r>
      <w:r>
        <w:rPr>
          <w:rFonts w:ascii="仿宋" w:hAnsi="仿宋" w:eastAsia="仿宋" w:cs="仿宋"/>
          <w:sz w:val="28"/>
          <w:szCs w:val="28"/>
        </w:rPr>
        <w:t>,推广先进经验,形成更具活力的民政事业发展格局。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5.立足基层、整合资源。加强基层公共服务设施建设</w:t>
      </w:r>
      <w:r>
        <w:rPr>
          <w:rFonts w:ascii="仿宋" w:hAnsi="仿宋" w:eastAsia="仿宋" w:cs="仿宋"/>
          <w:sz w:val="28"/>
          <w:szCs w:val="28"/>
        </w:rPr>
        <w:t>,加</w:t>
      </w:r>
      <w:r>
        <w:rPr>
          <w:rFonts w:hint="eastAsia" w:ascii="仿宋" w:hAnsi="仿宋" w:eastAsia="仿宋" w:cs="仿宋"/>
          <w:sz w:val="28"/>
          <w:szCs w:val="28"/>
        </w:rPr>
        <w:t>快建立基层服务平台和网络建设</w:t>
      </w:r>
      <w:r>
        <w:rPr>
          <w:rFonts w:ascii="仿宋" w:hAnsi="仿宋" w:eastAsia="仿宋" w:cs="仿宋"/>
          <w:sz w:val="28"/>
          <w:szCs w:val="28"/>
        </w:rPr>
        <w:t>,推动服务资源向城乡基层配置</w:t>
      </w:r>
      <w:r>
        <w:rPr>
          <w:rFonts w:hint="eastAsia" w:ascii="仿宋" w:hAnsi="仿宋" w:eastAsia="仿宋" w:cs="仿宋"/>
          <w:sz w:val="28"/>
          <w:szCs w:val="28"/>
        </w:rPr>
        <w:t>和延伸</w:t>
      </w:r>
      <w:r>
        <w:rPr>
          <w:rFonts w:ascii="仿宋" w:hAnsi="仿宋" w:eastAsia="仿宋" w:cs="仿宋"/>
          <w:sz w:val="28"/>
          <w:szCs w:val="28"/>
        </w:rPr>
        <w:t>,增强基层服务能力</w:t>
      </w:r>
      <w:r>
        <w:rPr>
          <w:rFonts w:hint="eastAsia" w:ascii="仿宋" w:hAnsi="仿宋" w:eastAsia="仿宋" w:cs="仿宋"/>
          <w:sz w:val="28"/>
          <w:szCs w:val="28"/>
        </w:rPr>
        <w:t>；</w:t>
      </w:r>
      <w:r>
        <w:rPr>
          <w:rFonts w:ascii="仿宋" w:hAnsi="仿宋" w:eastAsia="仿宋" w:cs="仿宋"/>
          <w:sz w:val="28"/>
          <w:szCs w:val="28"/>
        </w:rPr>
        <w:t>加强部门之间的沟通协调,整合优</w:t>
      </w:r>
      <w:r>
        <w:rPr>
          <w:rFonts w:hint="eastAsia" w:ascii="仿宋" w:hAnsi="仿宋" w:eastAsia="仿宋" w:cs="仿宋"/>
          <w:sz w:val="28"/>
          <w:szCs w:val="28"/>
        </w:rPr>
        <w:t>化社会服务资源、提升社会服务整体水平。</w:t>
      </w:r>
    </w:p>
    <w:p>
      <w:pPr>
        <w:pStyle w:val="3"/>
      </w:pPr>
      <w:bookmarkStart w:id="7" w:name="_Toc80116029"/>
      <w:r>
        <w:rPr>
          <w:rFonts w:hint="eastAsia"/>
        </w:rPr>
        <w:t xml:space="preserve">第三节 </w:t>
      </w:r>
      <w:r>
        <w:t xml:space="preserve"> </w:t>
      </w:r>
      <w:r>
        <w:rPr>
          <w:rFonts w:hint="eastAsia"/>
        </w:rPr>
        <w:t>发展目标</w:t>
      </w:r>
      <w:bookmarkEnd w:id="7"/>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到2025年，全面建立与全市经济社会发展相协调的民政事业发展格局，民生保障能力明显增强，社会治理水平显著提高，基本社会服务供给更加高效，形成各个部门和各项工作之间有机联系、分工明确、相互支撑、协同发展的推进格局，基本建成覆盖城乡、制度健全、设施完善、功能齐全、布局合理、水平适度的社会服务和专项事务管理体系，民政法制更加健全、体系更加优化、设施更加完善、保障更加有力、社会参与更加广泛,城乡社会服务实现全覆盖,在城乡、区域和不同社会群体之间基本实现社会福利与保障水平均等化,有效满足新时代人民群众对日益增长的美好生活的需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基本民生保障更加有力。实现巩固拓展脱贫攻坚兜底保障成果同乡村振兴有效衔接。建立健全分层分类社会救助体系。以低保对象、老年人、残疾人、困境儿童、流浪乞讨人员等特殊社会群体为主的普惠性民生保障体系逐步完善。全面建立适度普惠型儿童福利制度。福利彩票筹集资金的能力和水平进一步提升。</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基层社会治理更加高效。体系完备、共治共享、和谐有序、群众满意的基层社会治理新格局基本建立。基层群众自治制度不断完善，城乡基层民政更加健全。社区服务供给不断扩大，智慧社区覆盖面持续提高。社会工作者、志愿者参与社会治理的途径进一步畅通和规范，形成社区、社会组织、社会工作者“三社联动”有序参与社会治理的良好格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基本社会服务更加优质。以智慧民政为引领，民政系统智能化、信息化水平显著提高，普惠均等和智能精准程度同步提升。家庭、社会、政府三位一体的养老服务体系、未成年人保护工作机制更加系统完备。社会组织管理、婚姻登记、殡葬管理、区划地名与界线管理等服务水平不断提升。</w:t>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1  </w:t>
      </w:r>
      <w:r>
        <w:rPr>
          <w:rFonts w:hint="eastAsia" w:ascii="仿宋" w:hAnsi="仿宋" w:eastAsia="仿宋" w:cs="仿宋"/>
          <w:sz w:val="28"/>
          <w:szCs w:val="28"/>
        </w:rPr>
        <w:t>“十四五”时期焦作民政事业发展主要指标</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4068"/>
        <w:gridCol w:w="882"/>
        <w:gridCol w:w="161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序号</w:t>
            </w:r>
          </w:p>
        </w:tc>
        <w:tc>
          <w:tcPr>
            <w:tcW w:w="4068" w:type="dxa"/>
            <w:vAlign w:val="center"/>
          </w:tcPr>
          <w:p>
            <w:pPr>
              <w:spacing w:line="360" w:lineRule="exact"/>
              <w:jc w:val="center"/>
              <w:rPr>
                <w:rFonts w:ascii="仿宋" w:hAnsi="仿宋" w:eastAsia="仿宋" w:cs="仿宋"/>
                <w:sz w:val="24"/>
              </w:rPr>
            </w:pPr>
            <w:r>
              <w:rPr>
                <w:rFonts w:hint="eastAsia" w:ascii="仿宋" w:hAnsi="仿宋" w:eastAsia="仿宋" w:cs="仿宋"/>
                <w:sz w:val="24"/>
              </w:rPr>
              <w:t>指标名称</w:t>
            </w:r>
          </w:p>
        </w:tc>
        <w:tc>
          <w:tcPr>
            <w:tcW w:w="882" w:type="dxa"/>
            <w:vAlign w:val="center"/>
          </w:tcPr>
          <w:p>
            <w:pPr>
              <w:spacing w:line="360" w:lineRule="exact"/>
              <w:ind w:left="-420" w:leftChars="-200"/>
              <w:jc w:val="center"/>
              <w:rPr>
                <w:rFonts w:ascii="仿宋" w:hAnsi="仿宋" w:eastAsia="仿宋" w:cs="仿宋"/>
                <w:sz w:val="24"/>
              </w:rPr>
            </w:pPr>
            <w:r>
              <w:rPr>
                <w:rFonts w:hint="eastAsia" w:ascii="仿宋" w:hAnsi="仿宋" w:eastAsia="仿宋" w:cs="仿宋"/>
                <w:sz w:val="24"/>
              </w:rPr>
              <w:t xml:space="preserve">   单位</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025</w:t>
            </w:r>
            <w:r>
              <w:rPr>
                <w:rFonts w:hint="eastAsia" w:ascii="仿宋" w:hAnsi="仿宋" w:eastAsia="仿宋" w:cs="仿宋"/>
                <w:sz w:val="24"/>
              </w:rPr>
              <w:t>年目标值</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360" w:lineRule="exact"/>
              <w:jc w:val="center"/>
              <w:rPr>
                <w:rFonts w:ascii="仿宋" w:hAnsi="仿宋" w:eastAsia="仿宋" w:cs="仿宋"/>
                <w:sz w:val="24"/>
              </w:rPr>
            </w:pPr>
            <w:r>
              <w:rPr>
                <w:rFonts w:hint="eastAsia" w:ascii="仿宋" w:hAnsi="仿宋" w:eastAsia="仿宋" w:cs="仿宋"/>
                <w:sz w:val="24"/>
              </w:rPr>
              <w:t>1</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每千名老年人拥有养老床位数</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张</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360" w:lineRule="exact"/>
              <w:jc w:val="center"/>
              <w:rPr>
                <w:rFonts w:ascii="仿宋" w:hAnsi="仿宋" w:eastAsia="仿宋" w:cs="仿宋"/>
                <w:sz w:val="24"/>
              </w:rPr>
            </w:pP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其中：护理型床位比例</w:t>
            </w:r>
          </w:p>
        </w:tc>
        <w:tc>
          <w:tcPr>
            <w:tcW w:w="882" w:type="dxa"/>
            <w:vAlign w:val="center"/>
          </w:tcPr>
          <w:p>
            <w:pPr>
              <w:spacing w:line="360" w:lineRule="exact"/>
              <w:jc w:val="center"/>
              <w:rPr>
                <w:rFonts w:ascii="仿宋" w:hAnsi="仿宋" w:eastAsia="仿宋" w:cs="仿宋"/>
                <w:sz w:val="24"/>
              </w:rPr>
            </w:pPr>
            <w:r>
              <w:rPr>
                <w:rFonts w:hint="eastAsia" w:ascii="东文宋体" w:hAnsi="东文宋体" w:eastAsia="东文宋体" w:cs="东文宋体"/>
                <w:sz w:val="24"/>
              </w:rPr>
              <w:t>%</w:t>
            </w:r>
          </w:p>
        </w:tc>
        <w:tc>
          <w:tcPr>
            <w:tcW w:w="1618" w:type="dxa"/>
            <w:vAlign w:val="center"/>
          </w:tcPr>
          <w:p>
            <w:pPr>
              <w:spacing w:line="360" w:lineRule="exact"/>
              <w:jc w:val="center"/>
              <w:rPr>
                <w:rFonts w:ascii="仿宋" w:hAnsi="仿宋" w:eastAsia="仿宋" w:cs="仿宋"/>
                <w:sz w:val="24"/>
              </w:rPr>
            </w:pPr>
            <w:r>
              <w:rPr>
                <w:rFonts w:hint="eastAsia" w:ascii="东文宋体" w:hAnsi="东文宋体" w:eastAsia="东文宋体" w:cs="东文宋体"/>
                <w:sz w:val="24"/>
              </w:rPr>
              <w:t>≥</w:t>
            </w:r>
            <w:r>
              <w:rPr>
                <w:rFonts w:hint="eastAsia" w:ascii="仿宋" w:hAnsi="仿宋" w:eastAsia="仿宋" w:cs="仿宋"/>
                <w:sz w:val="24"/>
              </w:rPr>
              <w:t>5</w:t>
            </w:r>
            <w:r>
              <w:rPr>
                <w:rFonts w:ascii="仿宋" w:hAnsi="仿宋" w:eastAsia="仿宋" w:cs="仿宋"/>
                <w:sz w:val="24"/>
              </w:rPr>
              <w:t>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2</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乡镇（街道）范围具备综合功能的养老服务机构覆盖率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60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3</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对生活不能自理的特困人员的集中供养率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7</w:t>
            </w:r>
            <w:r>
              <w:rPr>
                <w:rFonts w:ascii="仿宋" w:hAnsi="仿宋" w:eastAsia="仿宋" w:cs="仿宋"/>
                <w:sz w:val="24"/>
              </w:rPr>
              <w:t>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4</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县级公益性安葬（放）设施覆盖率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100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5</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节地生态安葬率（%）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6</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婚姻登记“跨省通办”实施率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100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7</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查明身份信息流浪乞讨受助人员接送返回率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100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8</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每百户居民拥有的城乡社区综合服务设施面积</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平方米</w:t>
            </w:r>
          </w:p>
        </w:tc>
        <w:tc>
          <w:tcPr>
            <w:tcW w:w="1618" w:type="dxa"/>
            <w:vAlign w:val="center"/>
          </w:tcPr>
          <w:p>
            <w:pPr>
              <w:spacing w:line="360" w:lineRule="exact"/>
              <w:jc w:val="center"/>
              <w:rPr>
                <w:rFonts w:ascii="仿宋" w:hAnsi="仿宋" w:eastAsia="仿宋" w:cs="仿宋"/>
                <w:sz w:val="24"/>
              </w:rPr>
            </w:pPr>
            <w:r>
              <w:rPr>
                <w:rFonts w:hint="eastAsia" w:ascii="仿宋_GB2312" w:hAnsi="仿宋_GB2312" w:eastAsia="仿宋_GB2312" w:cs="仿宋_GB2312"/>
                <w:sz w:val="24"/>
              </w:rPr>
              <w:t>&gt;</w:t>
            </w:r>
            <w:r>
              <w:rPr>
                <w:rFonts w:hint="eastAsia" w:ascii="仿宋" w:hAnsi="仿宋" w:eastAsia="仿宋" w:cs="仿宋"/>
                <w:sz w:val="24"/>
              </w:rPr>
              <w:t>30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9</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省级规范化社区建设完成率（%）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8</w:t>
            </w:r>
            <w:r>
              <w:rPr>
                <w:rFonts w:ascii="仿宋" w:hAnsi="仿宋" w:eastAsia="仿宋" w:cs="仿宋"/>
                <w:sz w:val="24"/>
              </w:rPr>
              <w:t>5</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10</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农村社区综合服务设施覆盖率（%）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8</w:t>
            </w:r>
            <w:r>
              <w:rPr>
                <w:rFonts w:ascii="仿宋" w:hAnsi="仿宋" w:eastAsia="仿宋" w:cs="仿宋"/>
                <w:sz w:val="24"/>
              </w:rPr>
              <w:t>5</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11</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社会组织专职工作人员数量</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人</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5000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12</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每万人社会组织数（个）</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个</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.5</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13</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经常性社会捐助站点和慈善超市数量</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个</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80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序号</w:t>
            </w:r>
          </w:p>
        </w:tc>
        <w:tc>
          <w:tcPr>
            <w:tcW w:w="4068" w:type="dxa"/>
            <w:vAlign w:val="center"/>
          </w:tcPr>
          <w:p>
            <w:pPr>
              <w:spacing w:line="360" w:lineRule="exact"/>
              <w:jc w:val="center"/>
              <w:rPr>
                <w:rFonts w:ascii="仿宋" w:hAnsi="仿宋" w:eastAsia="仿宋" w:cs="仿宋"/>
                <w:sz w:val="24"/>
              </w:rPr>
            </w:pPr>
            <w:r>
              <w:rPr>
                <w:rFonts w:hint="eastAsia" w:ascii="仿宋" w:hAnsi="仿宋" w:eastAsia="仿宋" w:cs="仿宋"/>
                <w:sz w:val="24"/>
              </w:rPr>
              <w:t>指标名称</w:t>
            </w:r>
          </w:p>
        </w:tc>
        <w:tc>
          <w:tcPr>
            <w:tcW w:w="882" w:type="dxa"/>
            <w:vAlign w:val="center"/>
          </w:tcPr>
          <w:p>
            <w:pPr>
              <w:spacing w:line="360" w:lineRule="exact"/>
              <w:ind w:left="-420" w:leftChars="-200"/>
              <w:jc w:val="center"/>
              <w:rPr>
                <w:rFonts w:ascii="仿宋" w:hAnsi="仿宋" w:eastAsia="仿宋" w:cs="仿宋"/>
                <w:sz w:val="24"/>
              </w:rPr>
            </w:pPr>
            <w:r>
              <w:rPr>
                <w:rFonts w:hint="eastAsia" w:ascii="仿宋" w:hAnsi="仿宋" w:eastAsia="仿宋" w:cs="仿宋"/>
                <w:sz w:val="24"/>
              </w:rPr>
              <w:t xml:space="preserve">   单位</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025</w:t>
            </w:r>
            <w:r>
              <w:rPr>
                <w:rFonts w:hint="eastAsia" w:ascii="仿宋" w:hAnsi="仿宋" w:eastAsia="仿宋" w:cs="仿宋"/>
                <w:sz w:val="24"/>
              </w:rPr>
              <w:t>年目标值</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14</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社会工作服务机构数量</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个</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6</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15</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社会工作专业人才总量</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人</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2200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16</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社工站在乡镇（街道）综合服务设施中的覆盖率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100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17</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城乡低保标准年度增速</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不低于居民上年度人均消费支出增速</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18</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农村低保标准占城市低保标准比例</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75</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19</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困难残疾人生活补贴覆盖率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100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20</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重度残疾人护理补贴覆盖率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100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21</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福利彩票销售网点数</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个</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350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ascii="仿宋" w:hAnsi="仿宋" w:eastAsia="仿宋" w:cs="仿宋"/>
                <w:sz w:val="24"/>
              </w:rPr>
            </w:pPr>
            <w:r>
              <w:rPr>
                <w:rFonts w:hint="eastAsia" w:ascii="仿宋" w:hAnsi="仿宋" w:eastAsia="仿宋" w:cs="仿宋"/>
                <w:sz w:val="24"/>
              </w:rPr>
              <w:t>22</w:t>
            </w:r>
          </w:p>
        </w:tc>
        <w:tc>
          <w:tcPr>
            <w:tcW w:w="4068" w:type="dxa"/>
            <w:vAlign w:val="center"/>
          </w:tcPr>
          <w:p>
            <w:pPr>
              <w:spacing w:line="360" w:lineRule="exact"/>
              <w:jc w:val="left"/>
              <w:rPr>
                <w:rFonts w:ascii="仿宋" w:hAnsi="仿宋" w:eastAsia="仿宋" w:cs="仿宋"/>
                <w:sz w:val="24"/>
              </w:rPr>
            </w:pPr>
            <w:r>
              <w:rPr>
                <w:rFonts w:hint="eastAsia" w:ascii="仿宋" w:hAnsi="仿宋" w:eastAsia="仿宋" w:cs="仿宋"/>
                <w:sz w:val="24"/>
              </w:rPr>
              <w:t>乡镇（街道）未成年人保护工作站覆盖率</w:t>
            </w:r>
          </w:p>
        </w:tc>
        <w:tc>
          <w:tcPr>
            <w:tcW w:w="882" w:type="dxa"/>
            <w:vAlign w:val="center"/>
          </w:tcPr>
          <w:p>
            <w:pPr>
              <w:spacing w:line="360" w:lineRule="exact"/>
              <w:jc w:val="center"/>
              <w:rPr>
                <w:rFonts w:ascii="仿宋" w:hAnsi="仿宋" w:eastAsia="仿宋" w:cs="仿宋"/>
                <w:sz w:val="24"/>
              </w:rPr>
            </w:pPr>
            <w:r>
              <w:rPr>
                <w:rFonts w:hint="eastAsia" w:ascii="仿宋" w:hAnsi="仿宋" w:eastAsia="仿宋" w:cs="仿宋"/>
                <w:sz w:val="24"/>
              </w:rPr>
              <w:t>%</w:t>
            </w:r>
          </w:p>
        </w:tc>
        <w:tc>
          <w:tcPr>
            <w:tcW w:w="1618" w:type="dxa"/>
            <w:vAlign w:val="center"/>
          </w:tcPr>
          <w:p>
            <w:pPr>
              <w:spacing w:line="360" w:lineRule="exact"/>
              <w:jc w:val="center"/>
              <w:rPr>
                <w:rFonts w:ascii="仿宋" w:hAnsi="仿宋" w:eastAsia="仿宋" w:cs="仿宋"/>
                <w:sz w:val="24"/>
              </w:rPr>
            </w:pPr>
            <w:r>
              <w:rPr>
                <w:rFonts w:hint="eastAsia" w:ascii="仿宋" w:hAnsi="仿宋" w:eastAsia="仿宋" w:cs="仿宋"/>
                <w:sz w:val="24"/>
              </w:rPr>
              <w:t>50</w:t>
            </w:r>
          </w:p>
        </w:tc>
        <w:tc>
          <w:tcPr>
            <w:tcW w:w="1701" w:type="dxa"/>
            <w:vAlign w:val="center"/>
          </w:tcPr>
          <w:p>
            <w:pPr>
              <w:spacing w:line="360" w:lineRule="exact"/>
              <w:jc w:val="center"/>
              <w:rPr>
                <w:rFonts w:ascii="仿宋" w:hAnsi="仿宋" w:eastAsia="仿宋" w:cs="仿宋"/>
                <w:sz w:val="24"/>
              </w:rPr>
            </w:pPr>
            <w:r>
              <w:rPr>
                <w:rFonts w:hint="eastAsia" w:ascii="仿宋" w:hAnsi="仿宋" w:eastAsia="仿宋" w:cs="仿宋"/>
                <w:sz w:val="24"/>
              </w:rPr>
              <w:t>预期性</w:t>
            </w:r>
          </w:p>
        </w:tc>
      </w:tr>
    </w:tbl>
    <w:p>
      <w:pPr>
        <w:pStyle w:val="3"/>
      </w:pPr>
      <w:bookmarkStart w:id="8" w:name="_Toc80116030"/>
      <w:r>
        <w:rPr>
          <w:rFonts w:hint="eastAsia"/>
        </w:rPr>
        <w:t xml:space="preserve">第四节 </w:t>
      </w:r>
      <w:r>
        <w:t xml:space="preserve"> </w:t>
      </w:r>
      <w:r>
        <w:rPr>
          <w:rFonts w:hint="eastAsia"/>
        </w:rPr>
        <w:t>规划依据</w:t>
      </w:r>
      <w:bookmarkEnd w:id="8"/>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1.《“十四五”民政事业发展规划》</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2.《河南省民政事业发展第十四个五年规划》</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w:t>
      </w:r>
      <w:r>
        <w:rPr>
          <w:rFonts w:ascii="仿宋" w:hAnsi="仿宋" w:eastAsia="仿宋" w:cs="仿宋"/>
          <w:sz w:val="28"/>
          <w:szCs w:val="28"/>
        </w:rPr>
        <w:t>.</w:t>
      </w:r>
      <w:r>
        <w:rPr>
          <w:rFonts w:hint="eastAsia" w:ascii="仿宋" w:hAnsi="仿宋" w:eastAsia="仿宋" w:cs="仿宋"/>
          <w:sz w:val="28"/>
          <w:szCs w:val="28"/>
        </w:rPr>
        <w:t>《焦作市国民经济和社会发展第十四个五年规划和二〇三五年远景目标纲要》</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w:t>
      </w:r>
      <w:r>
        <w:rPr>
          <w:rFonts w:hint="eastAsia" w:ascii="仿宋" w:hAnsi="仿宋" w:eastAsia="仿宋" w:cs="仿宋"/>
          <w:sz w:val="28"/>
          <w:szCs w:val="28"/>
        </w:rPr>
        <w:t>.《关于开展焦作市十四五规划前期研究工作的通知》（焦政办〔2</w:t>
      </w:r>
      <w:r>
        <w:rPr>
          <w:rFonts w:ascii="仿宋" w:hAnsi="仿宋" w:eastAsia="仿宋" w:cs="仿宋"/>
          <w:sz w:val="28"/>
          <w:szCs w:val="28"/>
        </w:rPr>
        <w:t>019</w:t>
      </w:r>
      <w:r>
        <w:rPr>
          <w:rFonts w:hint="eastAsia" w:ascii="仿宋" w:hAnsi="仿宋" w:eastAsia="仿宋" w:cs="仿宋"/>
          <w:sz w:val="28"/>
          <w:szCs w:val="28"/>
        </w:rPr>
        <w:t>〕</w:t>
      </w:r>
      <w:r>
        <w:rPr>
          <w:rFonts w:ascii="仿宋" w:hAnsi="仿宋" w:eastAsia="仿宋" w:cs="仿宋"/>
          <w:sz w:val="28"/>
          <w:szCs w:val="28"/>
        </w:rPr>
        <w:t>75</w:t>
      </w:r>
      <w:r>
        <w:rPr>
          <w:rFonts w:hint="eastAsia" w:ascii="仿宋" w:hAnsi="仿宋" w:eastAsia="仿宋" w:cs="仿宋"/>
          <w:sz w:val="28"/>
          <w:szCs w:val="28"/>
        </w:rPr>
        <w:t>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5.《焦作市“十三五”民政事业发展规划》</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6</w:t>
      </w:r>
      <w:r>
        <w:rPr>
          <w:rFonts w:hint="eastAsia" w:ascii="仿宋" w:hAnsi="仿宋" w:eastAsia="仿宋" w:cs="仿宋"/>
          <w:sz w:val="28"/>
          <w:szCs w:val="28"/>
        </w:rPr>
        <w:t>.《焦作市十四五规划编制工作方案》</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7</w:t>
      </w:r>
      <w:r>
        <w:rPr>
          <w:rFonts w:hint="eastAsia" w:ascii="仿宋" w:hAnsi="仿宋" w:eastAsia="仿宋" w:cs="仿宋"/>
          <w:sz w:val="28"/>
          <w:szCs w:val="28"/>
        </w:rPr>
        <w:t>.《焦作市“规划编制年”活动实施方案》(焦政办〔2020〕19号)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8</w:t>
      </w:r>
      <w:r>
        <w:rPr>
          <w:rFonts w:hint="eastAsia" w:ascii="仿宋" w:hAnsi="仿宋" w:eastAsia="仿宋" w:cs="仿宋"/>
          <w:sz w:val="28"/>
          <w:szCs w:val="28"/>
        </w:rPr>
        <w:t>.《关于印发焦作市“十四五”规划编制目录清单的通知》(焦政办〔2020〕10号)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9</w:t>
      </w:r>
      <w:r>
        <w:rPr>
          <w:rFonts w:hint="eastAsia" w:ascii="仿宋" w:hAnsi="仿宋" w:eastAsia="仿宋" w:cs="仿宋"/>
          <w:sz w:val="28"/>
          <w:szCs w:val="28"/>
        </w:rPr>
        <w:t>.《志愿服务条例》（国令第6</w:t>
      </w:r>
      <w:r>
        <w:rPr>
          <w:rFonts w:ascii="仿宋" w:hAnsi="仿宋" w:eastAsia="仿宋" w:cs="仿宋"/>
          <w:sz w:val="28"/>
          <w:szCs w:val="28"/>
        </w:rPr>
        <w:t>85</w:t>
      </w:r>
      <w:r>
        <w:rPr>
          <w:rFonts w:hint="eastAsia" w:ascii="仿宋" w:hAnsi="仿宋" w:eastAsia="仿宋" w:cs="仿宋"/>
          <w:sz w:val="28"/>
          <w:szCs w:val="28"/>
        </w:rPr>
        <w:t>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10</w:t>
      </w:r>
      <w:r>
        <w:rPr>
          <w:rFonts w:hint="eastAsia" w:ascii="仿宋" w:hAnsi="仿宋" w:eastAsia="仿宋" w:cs="仿宋"/>
          <w:sz w:val="28"/>
          <w:szCs w:val="28"/>
        </w:rPr>
        <w:t>.《中华人民共和国慈善法》（主席令第四十三号）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11</w:t>
      </w:r>
      <w:r>
        <w:rPr>
          <w:rFonts w:hint="eastAsia" w:ascii="仿宋" w:hAnsi="仿宋" w:eastAsia="仿宋" w:cs="仿宋"/>
          <w:sz w:val="28"/>
          <w:szCs w:val="28"/>
        </w:rPr>
        <w:t>.《中华人民共和国公益事业捐赠法》（国家主席令第十九号）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12</w:t>
      </w:r>
      <w:r>
        <w:rPr>
          <w:rFonts w:hint="eastAsia" w:ascii="仿宋" w:hAnsi="仿宋" w:eastAsia="仿宋" w:cs="仿宋"/>
          <w:sz w:val="28"/>
          <w:szCs w:val="28"/>
        </w:rPr>
        <w:t>.《儿童福利机构管理办法》（</w:t>
      </w:r>
      <w:r>
        <w:rPr>
          <w:rFonts w:ascii="仿宋" w:hAnsi="仿宋" w:eastAsia="仿宋" w:cs="仿宋"/>
          <w:sz w:val="28"/>
          <w:szCs w:val="28"/>
        </w:rPr>
        <w:t>中华人民共和国民政部令第</w:t>
      </w:r>
      <w:r>
        <w:rPr>
          <w:rFonts w:hint="eastAsia" w:ascii="仿宋" w:hAnsi="仿宋" w:eastAsia="仿宋" w:cs="仿宋"/>
          <w:sz w:val="28"/>
          <w:szCs w:val="28"/>
        </w:rPr>
        <w:t>六十三</w:t>
      </w:r>
      <w:r>
        <w:rPr>
          <w:rFonts w:ascii="仿宋" w:hAnsi="仿宋" w:eastAsia="仿宋" w:cs="仿宋"/>
          <w:sz w:val="28"/>
          <w:szCs w:val="28"/>
        </w:rPr>
        <w:t>号</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13</w:t>
      </w:r>
      <w:r>
        <w:rPr>
          <w:rFonts w:hint="eastAsia" w:ascii="仿宋" w:hAnsi="仿宋" w:eastAsia="仿宋" w:cs="仿宋"/>
          <w:sz w:val="28"/>
          <w:szCs w:val="28"/>
        </w:rPr>
        <w:t>.《国务院关于全面建立困难残疾人生活补贴和重度残疾人护理补贴制度的意见》(国发〔2015〕52号)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14</w:t>
      </w:r>
      <w:r>
        <w:rPr>
          <w:rFonts w:hint="eastAsia" w:ascii="仿宋" w:hAnsi="仿宋" w:eastAsia="仿宋" w:cs="仿宋"/>
          <w:sz w:val="28"/>
          <w:szCs w:val="28"/>
        </w:rPr>
        <w:t>.《关于进一步规范城乡居民最低生活保障标准制定和调整工作的指导意见》（民发〔2011〕80号）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15</w:t>
      </w:r>
      <w:r>
        <w:rPr>
          <w:rFonts w:hint="eastAsia" w:ascii="仿宋" w:hAnsi="仿宋" w:eastAsia="仿宋" w:cs="仿宋"/>
          <w:sz w:val="28"/>
          <w:szCs w:val="28"/>
        </w:rPr>
        <w:t>.《国务院关于进一步健全特困人员救助供养制度的意见》（国发〔2016〕14号）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16</w:t>
      </w:r>
      <w:r>
        <w:rPr>
          <w:rFonts w:hint="eastAsia" w:ascii="仿宋" w:hAnsi="仿宋" w:eastAsia="仿宋" w:cs="仿宋"/>
          <w:sz w:val="28"/>
          <w:szCs w:val="28"/>
        </w:rPr>
        <w:t>.《最低生活保障审核审批办法（试行）》（</w:t>
      </w:r>
      <w:r>
        <w:rPr>
          <w:rFonts w:ascii="仿宋" w:hAnsi="仿宋" w:eastAsia="仿宋" w:cs="仿宋"/>
          <w:sz w:val="28"/>
          <w:szCs w:val="28"/>
        </w:rPr>
        <w:t>民发〔2012〕220号</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17</w:t>
      </w:r>
      <w:r>
        <w:rPr>
          <w:rFonts w:hint="eastAsia" w:ascii="仿宋" w:hAnsi="仿宋" w:eastAsia="仿宋" w:cs="仿宋"/>
          <w:sz w:val="28"/>
          <w:szCs w:val="28"/>
        </w:rPr>
        <w:t>.《民办非企业单位登记暂行办法》（</w:t>
      </w:r>
      <w:r>
        <w:rPr>
          <w:rFonts w:ascii="仿宋" w:hAnsi="仿宋" w:eastAsia="仿宋" w:cs="仿宋"/>
          <w:sz w:val="28"/>
          <w:szCs w:val="28"/>
        </w:rPr>
        <w:t>中华人民共和国民政部令第18号</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18</w:t>
      </w:r>
      <w:r>
        <w:rPr>
          <w:rFonts w:hint="eastAsia" w:ascii="仿宋" w:hAnsi="仿宋" w:eastAsia="仿宋" w:cs="仿宋"/>
          <w:sz w:val="28"/>
          <w:szCs w:val="28"/>
        </w:rPr>
        <w:t>.《</w:t>
      </w:r>
      <w:r>
        <w:rPr>
          <w:rFonts w:ascii="仿宋" w:hAnsi="仿宋" w:eastAsia="仿宋" w:cs="仿宋"/>
          <w:sz w:val="28"/>
          <w:szCs w:val="28"/>
        </w:rPr>
        <w:t>社会组织评估管理办法</w:t>
      </w:r>
      <w:r>
        <w:rPr>
          <w:rFonts w:hint="eastAsia" w:ascii="仿宋" w:hAnsi="仿宋" w:eastAsia="仿宋" w:cs="仿宋"/>
          <w:sz w:val="28"/>
          <w:szCs w:val="28"/>
        </w:rPr>
        <w:t>》（</w:t>
      </w:r>
      <w:r>
        <w:rPr>
          <w:rFonts w:ascii="仿宋" w:hAnsi="仿宋" w:eastAsia="仿宋" w:cs="仿宋"/>
          <w:sz w:val="28"/>
          <w:szCs w:val="28"/>
        </w:rPr>
        <w:t>中华人民共和国民政部令第39号</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19</w:t>
      </w:r>
      <w:r>
        <w:rPr>
          <w:rFonts w:hint="eastAsia" w:ascii="仿宋" w:hAnsi="仿宋" w:eastAsia="仿宋" w:cs="仿宋"/>
          <w:sz w:val="28"/>
          <w:szCs w:val="28"/>
        </w:rPr>
        <w:t>.《社会组织信用信息管理办法》（中华人民共和国民政部令第60号）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20</w:t>
      </w:r>
      <w:r>
        <w:rPr>
          <w:rFonts w:hint="eastAsia" w:ascii="仿宋" w:hAnsi="仿宋" w:eastAsia="仿宋" w:cs="仿宋"/>
          <w:sz w:val="28"/>
          <w:szCs w:val="28"/>
        </w:rPr>
        <w:t>.《中共中央办公厅国务院办公厅印发&lt;关于改革社会组织管理制度促进社会组织健康有序发展的意见&gt;》（中办发〔2016〕46号）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21</w:t>
      </w:r>
      <w:r>
        <w:rPr>
          <w:rFonts w:hint="eastAsia" w:ascii="仿宋" w:hAnsi="仿宋" w:eastAsia="仿宋" w:cs="仿宋"/>
          <w:sz w:val="28"/>
          <w:szCs w:val="28"/>
        </w:rPr>
        <w:t>.《民政部国家标准委关于印发&lt;养老服务标准体系建设指南&gt;》的通知</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22</w:t>
      </w:r>
      <w:r>
        <w:rPr>
          <w:rFonts w:hint="eastAsia" w:ascii="仿宋" w:hAnsi="仿宋" w:eastAsia="仿宋" w:cs="仿宋"/>
          <w:sz w:val="28"/>
          <w:szCs w:val="28"/>
        </w:rPr>
        <w:t>.《民政部关于贯彻落实新修改的中华人民共和国老年人权益保障法》通知(民函〔2019〕1号)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23</w:t>
      </w:r>
      <w:r>
        <w:rPr>
          <w:rFonts w:hint="eastAsia" w:ascii="仿宋" w:hAnsi="仿宋" w:eastAsia="仿宋" w:cs="仿宋"/>
          <w:sz w:val="28"/>
          <w:szCs w:val="28"/>
        </w:rPr>
        <w:t>.《国务院办公厅关于推进养老服务发展的意见》(</w:t>
      </w:r>
      <w:r>
        <w:rPr>
          <w:rFonts w:ascii="仿宋" w:hAnsi="仿宋" w:eastAsia="仿宋" w:cs="仿宋"/>
          <w:sz w:val="28"/>
          <w:szCs w:val="28"/>
        </w:rPr>
        <w:t>国办发〔2019〕5号</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4</w:t>
      </w:r>
      <w:r>
        <w:rPr>
          <w:rFonts w:hint="eastAsia" w:ascii="仿宋" w:hAnsi="仿宋" w:eastAsia="仿宋" w:cs="仿宋"/>
          <w:sz w:val="28"/>
          <w:szCs w:val="28"/>
        </w:rPr>
        <w:t>.《关于印发养老服务体系建设中央补助激励支持实施办法》（发改社会〔2020〕227号)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25</w:t>
      </w:r>
      <w:r>
        <w:rPr>
          <w:rFonts w:hint="eastAsia" w:ascii="仿宋" w:hAnsi="仿宋" w:eastAsia="仿宋" w:cs="仿宋"/>
          <w:sz w:val="28"/>
          <w:szCs w:val="28"/>
        </w:rPr>
        <w:t>.《养老机构服务质量基本规范》（GBT35796-2017)</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6</w:t>
      </w:r>
      <w:r>
        <w:rPr>
          <w:rFonts w:hint="eastAsia" w:ascii="仿宋" w:hAnsi="仿宋" w:eastAsia="仿宋" w:cs="仿宋"/>
          <w:sz w:val="28"/>
          <w:szCs w:val="28"/>
        </w:rPr>
        <w:t>.《关于转发&lt;民政部、教育部、公安部、司法部、财政部、人力社会资源社会保障部、国务院妇儿工委办公室、共青团中央、全国妇联、中国残联关于进一步健全农村留守儿童和困境儿童关爱服务体系的意见</w:t>
      </w:r>
      <w:r>
        <w:rPr>
          <w:rFonts w:ascii="仿宋" w:hAnsi="仿宋" w:eastAsia="仿宋" w:cs="仿宋"/>
          <w:sz w:val="28"/>
          <w:szCs w:val="28"/>
        </w:rPr>
        <w:t>&gt;</w:t>
      </w:r>
      <w:r>
        <w:rPr>
          <w:rFonts w:hint="eastAsia" w:ascii="仿宋" w:hAnsi="仿宋" w:eastAsia="仿宋" w:cs="仿宋"/>
          <w:sz w:val="28"/>
          <w:szCs w:val="28"/>
        </w:rPr>
        <w:t>的通知》（豫民文〔201</w:t>
      </w:r>
      <w:r>
        <w:rPr>
          <w:rFonts w:ascii="仿宋" w:hAnsi="仿宋" w:eastAsia="仿宋" w:cs="仿宋"/>
          <w:sz w:val="28"/>
          <w:szCs w:val="28"/>
        </w:rPr>
        <w:t>9</w:t>
      </w:r>
      <w:r>
        <w:rPr>
          <w:rFonts w:hint="eastAsia" w:ascii="仿宋" w:hAnsi="仿宋" w:eastAsia="仿宋" w:cs="仿宋"/>
          <w:sz w:val="28"/>
          <w:szCs w:val="28"/>
        </w:rPr>
        <w:t>〕1</w:t>
      </w:r>
      <w:r>
        <w:rPr>
          <w:rFonts w:ascii="仿宋" w:hAnsi="仿宋" w:eastAsia="仿宋" w:cs="仿宋"/>
          <w:sz w:val="28"/>
          <w:szCs w:val="28"/>
        </w:rPr>
        <w:t>51</w:t>
      </w:r>
      <w:r>
        <w:rPr>
          <w:rFonts w:hint="eastAsia" w:ascii="仿宋" w:hAnsi="仿宋" w:eastAsia="仿宋" w:cs="仿宋"/>
          <w:sz w:val="28"/>
          <w:szCs w:val="28"/>
        </w:rPr>
        <w:t>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7</w:t>
      </w:r>
      <w:r>
        <w:rPr>
          <w:rFonts w:hint="eastAsia" w:ascii="仿宋" w:hAnsi="仿宋" w:eastAsia="仿宋" w:cs="仿宋"/>
          <w:sz w:val="28"/>
          <w:szCs w:val="28"/>
        </w:rPr>
        <w:t>.《河南省民政厅办公室关于进一步加快基层“儿童之家”建设工作的通知》（豫民办文〔2018〕11号）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28</w:t>
      </w:r>
      <w:r>
        <w:rPr>
          <w:rFonts w:hint="eastAsia" w:ascii="仿宋" w:hAnsi="仿宋" w:eastAsia="仿宋" w:cs="仿宋"/>
          <w:sz w:val="28"/>
          <w:szCs w:val="28"/>
        </w:rPr>
        <w:t>.《河南省人民政府办公厅关于加强孤儿保障工作的意见》（豫政办〔2011〕59号）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29</w:t>
      </w:r>
      <w:r>
        <w:rPr>
          <w:rFonts w:hint="eastAsia" w:ascii="仿宋" w:hAnsi="仿宋" w:eastAsia="仿宋" w:cs="仿宋"/>
          <w:sz w:val="28"/>
          <w:szCs w:val="28"/>
        </w:rPr>
        <w:t>.《河南省人民政府关于印发&lt;河南省社会救助实施办法的通知&gt;》（豫政〔2014〕92号）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30</w:t>
      </w:r>
      <w:r>
        <w:rPr>
          <w:rFonts w:hint="eastAsia" w:ascii="仿宋" w:hAnsi="仿宋" w:eastAsia="仿宋" w:cs="仿宋"/>
          <w:sz w:val="28"/>
          <w:szCs w:val="28"/>
        </w:rPr>
        <w:t>.《河南省人民政府关于印发&lt;河南省特困人员救助供养办法的通知&gt;》（豫政〔2016〕79号）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31</w:t>
      </w:r>
      <w:r>
        <w:rPr>
          <w:rFonts w:hint="eastAsia" w:ascii="仿宋" w:hAnsi="仿宋" w:eastAsia="仿宋" w:cs="仿宋"/>
          <w:sz w:val="28"/>
          <w:szCs w:val="28"/>
        </w:rPr>
        <w:t>.《中共河南省委河南省人民政府关于加强和完善城乡社区治理的实施意见》（豫发〔2</w:t>
      </w:r>
      <w:r>
        <w:rPr>
          <w:rFonts w:ascii="仿宋" w:hAnsi="仿宋" w:eastAsia="仿宋" w:cs="仿宋"/>
          <w:sz w:val="28"/>
          <w:szCs w:val="28"/>
        </w:rPr>
        <w:t>019</w:t>
      </w:r>
      <w:r>
        <w:rPr>
          <w:rFonts w:hint="eastAsia" w:ascii="仿宋" w:hAnsi="仿宋" w:eastAsia="仿宋" w:cs="仿宋"/>
          <w:sz w:val="28"/>
          <w:szCs w:val="28"/>
        </w:rPr>
        <w:t>〕</w:t>
      </w:r>
      <w:r>
        <w:rPr>
          <w:rFonts w:ascii="仿宋" w:hAnsi="仿宋" w:eastAsia="仿宋" w:cs="仿宋"/>
          <w:sz w:val="28"/>
          <w:szCs w:val="28"/>
        </w:rPr>
        <w:t>6</w:t>
      </w:r>
      <w:r>
        <w:rPr>
          <w:rFonts w:hint="eastAsia" w:ascii="仿宋" w:hAnsi="仿宋" w:eastAsia="仿宋" w:cs="仿宋"/>
          <w:sz w:val="28"/>
          <w:szCs w:val="28"/>
        </w:rPr>
        <w:t>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32</w:t>
      </w:r>
      <w:r>
        <w:rPr>
          <w:rFonts w:hint="eastAsia" w:ascii="仿宋" w:hAnsi="仿宋" w:eastAsia="仿宋" w:cs="仿宋"/>
          <w:sz w:val="28"/>
          <w:szCs w:val="28"/>
        </w:rPr>
        <w:t>.《中共河南省委办公厅河南省人民政府办公厅关于加强乡镇政府服务能力建设的实施意见》（豫办〔2</w:t>
      </w:r>
      <w:r>
        <w:rPr>
          <w:rFonts w:ascii="仿宋" w:hAnsi="仿宋" w:eastAsia="仿宋" w:cs="仿宋"/>
          <w:sz w:val="28"/>
          <w:szCs w:val="28"/>
        </w:rPr>
        <w:t>019</w:t>
      </w:r>
      <w:r>
        <w:rPr>
          <w:rFonts w:hint="eastAsia" w:ascii="仿宋" w:hAnsi="仿宋" w:eastAsia="仿宋" w:cs="仿宋"/>
          <w:sz w:val="28"/>
          <w:szCs w:val="28"/>
        </w:rPr>
        <w:t>〕</w:t>
      </w:r>
      <w:r>
        <w:rPr>
          <w:rFonts w:ascii="仿宋" w:hAnsi="仿宋" w:eastAsia="仿宋" w:cs="仿宋"/>
          <w:sz w:val="28"/>
          <w:szCs w:val="28"/>
        </w:rPr>
        <w:t>2</w:t>
      </w:r>
      <w:r>
        <w:rPr>
          <w:rFonts w:hint="eastAsia" w:ascii="仿宋" w:hAnsi="仿宋" w:eastAsia="仿宋" w:cs="仿宋"/>
          <w:sz w:val="28"/>
          <w:szCs w:val="28"/>
        </w:rPr>
        <w:t>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33</w:t>
      </w:r>
      <w:r>
        <w:rPr>
          <w:rFonts w:hint="eastAsia" w:ascii="仿宋" w:hAnsi="仿宋" w:eastAsia="仿宋" w:cs="仿宋"/>
          <w:sz w:val="28"/>
          <w:szCs w:val="28"/>
        </w:rPr>
        <w:t>.《河南省民政厅关于印发&lt;社区居家养老服务规范和老年人健康能力评估的通知&gt;》（豫民〔2017〕3号）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34</w:t>
      </w:r>
      <w:r>
        <w:rPr>
          <w:rFonts w:hint="eastAsia" w:ascii="仿宋" w:hAnsi="仿宋" w:eastAsia="仿宋" w:cs="仿宋"/>
          <w:sz w:val="28"/>
          <w:szCs w:val="28"/>
        </w:rPr>
        <w:t>.《河南省人民政府办公厅关于加快发展康复辅助器具产业的实施意见》（豫政办〔2017〕104号）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35</w:t>
      </w:r>
      <w:r>
        <w:rPr>
          <w:rFonts w:hint="eastAsia" w:ascii="仿宋" w:hAnsi="仿宋" w:eastAsia="仿宋" w:cs="仿宋"/>
          <w:sz w:val="28"/>
          <w:szCs w:val="28"/>
        </w:rPr>
        <w:t>.《关于转发民政部等9部门关于加强农村留守老年人关爱服务工作的意见的通知》（豫民文〔2018〕116号）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36</w:t>
      </w:r>
      <w:r>
        <w:rPr>
          <w:rFonts w:hint="eastAsia" w:ascii="仿宋" w:hAnsi="仿宋" w:eastAsia="仿宋" w:cs="仿宋"/>
          <w:sz w:val="28"/>
          <w:szCs w:val="28"/>
        </w:rPr>
        <w:t>.《河南省民政厅关于大力推进城市老年人日间照料中心的通知》(豫民文〔2</w:t>
      </w:r>
      <w:r>
        <w:rPr>
          <w:rFonts w:ascii="仿宋" w:hAnsi="仿宋" w:eastAsia="仿宋" w:cs="仿宋"/>
          <w:sz w:val="28"/>
          <w:szCs w:val="28"/>
        </w:rPr>
        <w:t>018</w:t>
      </w:r>
      <w:r>
        <w:rPr>
          <w:rFonts w:hint="eastAsia" w:ascii="仿宋" w:hAnsi="仿宋" w:eastAsia="仿宋" w:cs="仿宋"/>
          <w:sz w:val="28"/>
          <w:szCs w:val="28"/>
        </w:rPr>
        <w:t>〕</w:t>
      </w:r>
      <w:r>
        <w:rPr>
          <w:rFonts w:ascii="仿宋" w:hAnsi="仿宋" w:eastAsia="仿宋" w:cs="仿宋"/>
          <w:sz w:val="28"/>
          <w:szCs w:val="28"/>
        </w:rPr>
        <w:t>56</w:t>
      </w:r>
      <w:r>
        <w:rPr>
          <w:rFonts w:hint="eastAsia" w:ascii="仿宋" w:hAnsi="仿宋" w:eastAsia="仿宋" w:cs="仿宋"/>
          <w:sz w:val="28"/>
          <w:szCs w:val="28"/>
        </w:rPr>
        <w:t>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37</w:t>
      </w:r>
      <w:r>
        <w:rPr>
          <w:rFonts w:hint="eastAsia" w:ascii="仿宋" w:hAnsi="仿宋" w:eastAsia="仿宋" w:cs="仿宋"/>
          <w:sz w:val="28"/>
          <w:szCs w:val="28"/>
        </w:rPr>
        <w:t>.《焦作市财政局焦作市发展和改革委员会焦作市民政局焦作市老龄工作委员会办公室转发&lt;河南省财政厅河南省发展和改革委员会河南省民政厅河南省老龄工作委员会办公室关于做好政府购买养老服务工作的指导意见的通知&gt;》（焦财社〔2016〕2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38</w:t>
      </w:r>
      <w:r>
        <w:rPr>
          <w:rFonts w:hint="eastAsia" w:ascii="仿宋" w:hAnsi="仿宋" w:eastAsia="仿宋" w:cs="仿宋"/>
          <w:sz w:val="28"/>
          <w:szCs w:val="28"/>
        </w:rPr>
        <w:t>.《焦作市民政局焦作市财政局关于印发&lt;焦作市资助社会办养老机构实施办法&gt;》（试行）的通知（焦民〔2015〕203号）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39</w:t>
      </w:r>
      <w:r>
        <w:rPr>
          <w:rFonts w:hint="eastAsia" w:ascii="仿宋" w:hAnsi="仿宋" w:eastAsia="仿宋" w:cs="仿宋"/>
          <w:sz w:val="28"/>
          <w:szCs w:val="28"/>
        </w:rPr>
        <w:t>.《焦作市民政局关于印发&lt;焦作市80岁以上高龄老年人敬老补贴发放管理办法的通知&gt;》（焦民〔2012〕202号）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40</w:t>
      </w:r>
      <w:r>
        <w:rPr>
          <w:rFonts w:hint="eastAsia" w:ascii="仿宋" w:hAnsi="仿宋" w:eastAsia="仿宋" w:cs="仿宋"/>
          <w:sz w:val="28"/>
          <w:szCs w:val="28"/>
        </w:rPr>
        <w:t>.《焦作市人民政府办公室关于成立焦作市康复辅助器具社区租赁服务试点工作领导小组的通知》（焦政办明电〔2019〕10号）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41</w:t>
      </w:r>
      <w:r>
        <w:rPr>
          <w:rFonts w:hint="eastAsia" w:ascii="仿宋" w:hAnsi="仿宋" w:eastAsia="仿宋" w:cs="仿宋"/>
          <w:sz w:val="28"/>
          <w:szCs w:val="28"/>
        </w:rPr>
        <w:t>.《焦作市人民政府办公室关于印发&lt;焦作市加快推进社会养老服务体系建设两年行动计划&gt;（2019—2020）的通知》（焦政办〔2018〕104号）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42</w:t>
      </w:r>
      <w:r>
        <w:rPr>
          <w:rFonts w:hint="eastAsia" w:ascii="仿宋" w:hAnsi="仿宋" w:eastAsia="仿宋" w:cs="仿宋"/>
          <w:sz w:val="28"/>
          <w:szCs w:val="28"/>
        </w:rPr>
        <w:t>.《焦作市人民政府办公室关于印发&lt;焦作市全面放开养老服务市场提升养老服务质量实施方案&gt;的通知》（焦政办〔2018〕42号）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43</w:t>
      </w:r>
      <w:r>
        <w:rPr>
          <w:rFonts w:hint="eastAsia" w:ascii="仿宋" w:hAnsi="仿宋" w:eastAsia="仿宋" w:cs="仿宋"/>
          <w:sz w:val="28"/>
          <w:szCs w:val="28"/>
        </w:rPr>
        <w:t>.《焦作市人民政府关于成立焦作市居家和社区养老服务改革试点工作领导小组的通知》（焦政明电〔2019〕1号）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44</w:t>
      </w:r>
      <w:r>
        <w:rPr>
          <w:rFonts w:hint="eastAsia" w:ascii="仿宋" w:hAnsi="仿宋" w:eastAsia="仿宋" w:cs="仿宋"/>
          <w:sz w:val="28"/>
          <w:szCs w:val="28"/>
        </w:rPr>
        <w:t>.《焦作市人民政府关于加快发展养老服务业的实施意见》（焦政文〔2015〕25号）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45</w:t>
      </w:r>
      <w:r>
        <w:rPr>
          <w:rFonts w:hint="eastAsia" w:ascii="仿宋" w:hAnsi="仿宋" w:eastAsia="仿宋" w:cs="仿宋"/>
          <w:sz w:val="28"/>
          <w:szCs w:val="28"/>
        </w:rPr>
        <w:t>.《焦作市人民政府关于加快发展养老服务业的实施意见》(焦政文〔2015〕25号)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46</w:t>
      </w:r>
      <w:r>
        <w:rPr>
          <w:rFonts w:hint="eastAsia" w:ascii="仿宋" w:hAnsi="仿宋" w:eastAsia="仿宋" w:cs="仿宋"/>
          <w:sz w:val="28"/>
          <w:szCs w:val="28"/>
        </w:rPr>
        <w:t>.《焦作市民政局等12部门转发关于支持整合改造闲置社会资源发展养老服务的通知》（焦民〔201</w:t>
      </w:r>
      <w:r>
        <w:rPr>
          <w:rFonts w:ascii="仿宋" w:hAnsi="仿宋" w:eastAsia="仿宋" w:cs="仿宋"/>
          <w:sz w:val="28"/>
          <w:szCs w:val="28"/>
        </w:rPr>
        <w:t>7</w:t>
      </w:r>
      <w:r>
        <w:rPr>
          <w:rFonts w:hint="eastAsia" w:ascii="仿宋" w:hAnsi="仿宋" w:eastAsia="仿宋" w:cs="仿宋"/>
          <w:sz w:val="28"/>
          <w:szCs w:val="28"/>
        </w:rPr>
        <w:t>〕168号）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47</w:t>
      </w:r>
      <w:r>
        <w:rPr>
          <w:rFonts w:hint="eastAsia" w:ascii="仿宋" w:hAnsi="仿宋" w:eastAsia="仿宋" w:cs="仿宋"/>
          <w:sz w:val="28"/>
          <w:szCs w:val="28"/>
        </w:rPr>
        <w:t>.《焦作市民政局等13部门关于转发&lt;关于加快推进养老服务业放管服务改革的通知&gt;》（焦民〔201</w:t>
      </w:r>
      <w:r>
        <w:rPr>
          <w:rFonts w:ascii="仿宋" w:hAnsi="仿宋" w:eastAsia="仿宋" w:cs="仿宋"/>
          <w:sz w:val="28"/>
          <w:szCs w:val="28"/>
        </w:rPr>
        <w:t>7</w:t>
      </w:r>
      <w:r>
        <w:rPr>
          <w:rFonts w:hint="eastAsia" w:ascii="仿宋" w:hAnsi="仿宋" w:eastAsia="仿宋" w:cs="仿宋"/>
          <w:sz w:val="28"/>
          <w:szCs w:val="28"/>
        </w:rPr>
        <w:t>〕156号）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48</w:t>
      </w:r>
      <w:r>
        <w:rPr>
          <w:rFonts w:hint="eastAsia" w:ascii="仿宋" w:hAnsi="仿宋" w:eastAsia="仿宋" w:cs="仿宋"/>
          <w:sz w:val="28"/>
          <w:szCs w:val="28"/>
        </w:rPr>
        <w:t>.《焦作市民政局关于加快推进市委市政府2020年重点民生实事圆满完成养老服务设施建设任务的通知》(焦民〔201</w:t>
      </w:r>
      <w:r>
        <w:rPr>
          <w:rFonts w:ascii="仿宋" w:hAnsi="仿宋" w:eastAsia="仿宋" w:cs="仿宋"/>
          <w:sz w:val="28"/>
          <w:szCs w:val="28"/>
        </w:rPr>
        <w:t>7</w:t>
      </w:r>
      <w:r>
        <w:rPr>
          <w:rFonts w:hint="eastAsia" w:ascii="仿宋" w:hAnsi="仿宋" w:eastAsia="仿宋" w:cs="仿宋"/>
          <w:sz w:val="28"/>
          <w:szCs w:val="28"/>
        </w:rPr>
        <w:t>〕</w:t>
      </w:r>
      <w:r>
        <w:rPr>
          <w:rFonts w:ascii="仿宋" w:hAnsi="仿宋" w:eastAsia="仿宋" w:cs="仿宋"/>
          <w:sz w:val="28"/>
          <w:szCs w:val="28"/>
        </w:rPr>
        <w:t>74</w:t>
      </w:r>
      <w:r>
        <w:rPr>
          <w:rFonts w:hint="eastAsia" w:ascii="仿宋" w:hAnsi="仿宋" w:eastAsia="仿宋" w:cs="仿宋"/>
          <w:sz w:val="28"/>
          <w:szCs w:val="28"/>
        </w:rPr>
        <w:t>号)</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49</w:t>
      </w:r>
      <w:r>
        <w:rPr>
          <w:rFonts w:hint="eastAsia" w:ascii="仿宋" w:hAnsi="仿宋" w:eastAsia="仿宋" w:cs="仿宋"/>
          <w:sz w:val="28"/>
          <w:szCs w:val="28"/>
        </w:rPr>
        <w:t>.《焦作市民政局关于推进城乡社区居家养老服务设施建设的通知》(焦民〔</w:t>
      </w:r>
      <w:r>
        <w:rPr>
          <w:rFonts w:ascii="仿宋" w:hAnsi="仿宋" w:eastAsia="仿宋" w:cs="仿宋"/>
          <w:sz w:val="28"/>
          <w:szCs w:val="28"/>
        </w:rPr>
        <w:t>2019</w:t>
      </w:r>
      <w:r>
        <w:rPr>
          <w:rFonts w:hint="eastAsia" w:ascii="仿宋" w:hAnsi="仿宋" w:eastAsia="仿宋" w:cs="仿宋"/>
          <w:sz w:val="28"/>
          <w:szCs w:val="28"/>
        </w:rPr>
        <w:t>〕</w:t>
      </w:r>
      <w:r>
        <w:rPr>
          <w:rFonts w:ascii="仿宋" w:hAnsi="仿宋" w:eastAsia="仿宋" w:cs="仿宋"/>
          <w:sz w:val="28"/>
          <w:szCs w:val="28"/>
        </w:rPr>
        <w:t>23</w:t>
      </w:r>
      <w:r>
        <w:rPr>
          <w:rFonts w:hint="eastAsia" w:ascii="仿宋" w:hAnsi="仿宋" w:eastAsia="仿宋" w:cs="仿宋"/>
          <w:sz w:val="28"/>
          <w:szCs w:val="28"/>
        </w:rPr>
        <w:t>号)</w:t>
      </w:r>
    </w:p>
    <w:p>
      <w:pPr>
        <w:pStyle w:val="3"/>
      </w:pPr>
      <w:bookmarkStart w:id="9" w:name="_Toc80116031"/>
      <w:r>
        <w:rPr>
          <w:rFonts w:hint="eastAsia"/>
        </w:rPr>
        <w:t xml:space="preserve">第五节 </w:t>
      </w:r>
      <w:r>
        <w:t xml:space="preserve"> </w:t>
      </w:r>
      <w:r>
        <w:rPr>
          <w:rFonts w:hint="eastAsia"/>
        </w:rPr>
        <w:t>规划范围</w:t>
      </w:r>
      <w:bookmarkEnd w:id="9"/>
    </w:p>
    <w:p>
      <w:pPr>
        <w:spacing w:line="360" w:lineRule="auto"/>
        <w:ind w:firstLine="420" w:firstLineChars="200"/>
        <w:rPr>
          <w:rFonts w:ascii="仿宋" w:hAnsi="仿宋" w:eastAsia="仿宋" w:cs="仿宋"/>
          <w:sz w:val="28"/>
          <w:szCs w:val="28"/>
        </w:rPr>
      </w:pPr>
      <w:r>
        <w:drawing>
          <wp:anchor distT="0" distB="0" distL="114300" distR="114300" simplePos="0" relativeHeight="251658240" behindDoc="0" locked="0" layoutInCell="1" allowOverlap="1">
            <wp:simplePos x="0" y="0"/>
            <wp:positionH relativeFrom="column">
              <wp:posOffset>1549400</wp:posOffset>
            </wp:positionH>
            <wp:positionV relativeFrom="paragraph">
              <wp:posOffset>108585</wp:posOffset>
            </wp:positionV>
            <wp:extent cx="4137025" cy="2967990"/>
            <wp:effectExtent l="19050" t="19050" r="15875" b="22860"/>
            <wp:wrapSquare wrapText="bothSides"/>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l="3788" t="13173" r="19665" b="9138"/>
                    <a:stretch>
                      <a:fillRect/>
                    </a:stretch>
                  </pic:blipFill>
                  <pic:spPr>
                    <a:xfrm>
                      <a:off x="0" y="0"/>
                      <a:ext cx="4137025" cy="2967990"/>
                    </a:xfrm>
                    <a:prstGeom prst="rect">
                      <a:avLst/>
                    </a:prstGeom>
                    <a:noFill/>
                    <a:ln w="12700">
                      <a:solidFill>
                        <a:schemeClr val="tx1"/>
                      </a:solidFill>
                    </a:ln>
                  </pic:spPr>
                </pic:pic>
              </a:graphicData>
            </a:graphic>
          </wp:anchor>
        </w:drawing>
      </w:r>
      <w:r>
        <w:rPr>
          <w:rFonts w:hint="eastAsia" w:ascii="仿宋" w:hAnsi="仿宋" w:eastAsia="仿宋" w:cs="仿宋"/>
          <w:sz w:val="28"/>
          <w:szCs w:val="28"/>
        </w:rPr>
        <w:t>焦作市市域内（解放区、山阳区、中站区、马村区、城乡一体化示范区、沁阳市、孟州市、温县、博爱县、武陟县、修武县）民政工作。</w:t>
      </w:r>
    </w:p>
    <w:p>
      <w:pPr>
        <w:pStyle w:val="3"/>
      </w:pPr>
      <w:bookmarkStart w:id="10" w:name="_Toc80116032"/>
      <w:r>
        <w:rPr>
          <w:rFonts w:hint="eastAsia"/>
        </w:rPr>
        <w:t xml:space="preserve">第六节 </w:t>
      </w:r>
      <w:r>
        <w:t xml:space="preserve"> </w:t>
      </w:r>
      <w:r>
        <w:rPr>
          <w:rFonts w:hint="eastAsia"/>
        </w:rPr>
        <w:t>规划年限</w:t>
      </w:r>
      <w:bookmarkEnd w:id="10"/>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021</w:t>
      </w:r>
      <w:r>
        <w:rPr>
          <w:rFonts w:hint="eastAsia" w:ascii="仿宋" w:hAnsi="仿宋" w:eastAsia="仿宋" w:cs="仿宋"/>
          <w:sz w:val="28"/>
          <w:szCs w:val="28"/>
        </w:rPr>
        <w:t>年——</w:t>
      </w:r>
      <w:r>
        <w:rPr>
          <w:rFonts w:ascii="仿宋" w:hAnsi="仿宋" w:eastAsia="仿宋" w:cs="仿宋"/>
          <w:sz w:val="28"/>
          <w:szCs w:val="28"/>
        </w:rPr>
        <w:t>2025年</w:t>
      </w:r>
      <w:r>
        <w:rPr>
          <w:rFonts w:ascii="仿宋" w:hAnsi="仿宋" w:eastAsia="仿宋" w:cs="仿宋"/>
          <w:sz w:val="28"/>
          <w:szCs w:val="28"/>
        </w:rPr>
        <w:br w:type="page"/>
      </w:r>
    </w:p>
    <w:p>
      <w:pPr>
        <w:pStyle w:val="2"/>
        <w:rPr>
          <w:rFonts w:hint="default"/>
        </w:rPr>
      </w:pPr>
      <w:bookmarkStart w:id="11" w:name="_Toc80116033"/>
      <w:r>
        <w:t xml:space="preserve">第二章 </w:t>
      </w:r>
      <w:r>
        <w:rPr>
          <w:rFonts w:hint="default"/>
        </w:rPr>
        <w:t xml:space="preserve"> </w:t>
      </w:r>
      <w:r>
        <w:t>“十三五”时期民政事业发展概况</w:t>
      </w:r>
      <w:bookmarkEnd w:id="11"/>
    </w:p>
    <w:p>
      <w:pPr>
        <w:spacing w:line="360" w:lineRule="auto"/>
        <w:ind w:firstLine="560" w:firstLineChars="200"/>
        <w:rPr>
          <w:rFonts w:ascii="仿宋" w:hAnsi="仿宋" w:eastAsia="仿宋" w:cs="仿宋"/>
          <w:kern w:val="0"/>
          <w:sz w:val="28"/>
          <w:szCs w:val="28"/>
        </w:rPr>
      </w:pPr>
      <w:r>
        <w:rPr>
          <w:rFonts w:hint="eastAsia" w:ascii="仿宋" w:hAnsi="仿宋" w:eastAsia="仿宋" w:cs="仿宋"/>
          <w:sz w:val="28"/>
          <w:szCs w:val="28"/>
        </w:rPr>
        <w:t>“十三五”以来，全市民政系统坚持以习近平新时代中国特色社会思想为指导，紧紧围绕省委省政府、市委市政府决策部署，努力践行“民政为民、民政爱民”的工作理念，提高政治站位，坚持服务大局，勇于担当作为，民政事业全面发展、民政职能不断强化、民政业务不断拓展，</w:t>
      </w:r>
      <w:r>
        <w:rPr>
          <w:rFonts w:hint="eastAsia" w:ascii="仿宋" w:hAnsi="仿宋" w:eastAsia="仿宋" w:cs="仿宋"/>
          <w:kern w:val="0"/>
          <w:sz w:val="28"/>
          <w:szCs w:val="28"/>
        </w:rPr>
        <w:t>各级民政部门履职尽责，扎实工作，开拓创新，务实求效，不断在保障民生、改善民生、服务民生中提质提效，民政工作亮点纷呈，民政事业健康发展，为改善群众生活、促进社会和谐、服务经济发展做出了积极贡献。</w:t>
      </w:r>
    </w:p>
    <w:p>
      <w:pPr>
        <w:pStyle w:val="3"/>
      </w:pPr>
      <w:bookmarkStart w:id="12" w:name="_Toc80116034"/>
      <w:r>
        <w:rPr>
          <w:rFonts w:hint="eastAsia"/>
        </w:rPr>
        <w:t xml:space="preserve">第一节 </w:t>
      </w:r>
      <w:r>
        <w:t xml:space="preserve"> </w:t>
      </w:r>
      <w:r>
        <w:rPr>
          <w:rFonts w:hint="eastAsia"/>
        </w:rPr>
        <w:t>基本民生保障水平不断提升</w:t>
      </w:r>
      <w:bookmarkEnd w:id="12"/>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连续两年将低保提标纳入市委市政府十件重点民生实事，城市低保月标准和农村低保年标准分别从400元、2760元提高到600元、4500元，年均增长9.4%和10.3%，人均补助水平由225元、115元提高到不低于290元、180元。</w:t>
      </w:r>
      <w:r>
        <w:rPr>
          <w:rFonts w:hint="eastAsia" w:ascii="仿宋" w:hAnsi="仿宋" w:eastAsia="仿宋" w:cs="仿宋"/>
          <w:bCs/>
          <w:sz w:val="28"/>
          <w:szCs w:val="28"/>
        </w:rPr>
        <w:t>以上标准均高于省定标准。</w:t>
      </w:r>
      <w:r>
        <w:rPr>
          <w:rFonts w:hint="eastAsia" w:ascii="仿宋" w:hAnsi="仿宋" w:eastAsia="仿宋" w:cs="仿宋"/>
          <w:sz w:val="28"/>
          <w:szCs w:val="28"/>
        </w:rPr>
        <w:t>五年来，城乡低保救助639万人次，发放低保金10.8亿元。</w:t>
      </w:r>
      <w:r>
        <w:rPr>
          <w:rFonts w:hint="eastAsia" w:ascii="仿宋" w:hAnsi="仿宋" w:eastAsia="仿宋" w:cs="仿宋"/>
          <w:color w:val="000000"/>
          <w:sz w:val="28"/>
          <w:szCs w:val="28"/>
        </w:rPr>
        <w:t>稳步推进临时救助工作，</w:t>
      </w:r>
      <w:r>
        <w:rPr>
          <w:rFonts w:hint="eastAsia" w:ascii="仿宋" w:hAnsi="仿宋" w:eastAsia="仿宋" w:cs="仿宋"/>
          <w:sz w:val="28"/>
          <w:szCs w:val="28"/>
        </w:rPr>
        <w:t>对因医疗、教育等必需支出较大，或家庭成员遭遇交通事故等突发性事故造成人身意外伤害，或因火灾等意外事件导致家庭基本生活困难的家庭给予临时救助，确保了困难群众求助有门、受助及时。共发放临时救助金5282万元。完善家庭收入和财产核算，</w:t>
      </w:r>
      <w:bookmarkStart w:id="13" w:name="_Toc364759802"/>
      <w:r>
        <w:rPr>
          <w:rFonts w:hint="eastAsia" w:ascii="仿宋" w:hAnsi="仿宋" w:eastAsia="仿宋" w:cs="仿宋"/>
          <w:sz w:val="28"/>
          <w:szCs w:val="28"/>
        </w:rPr>
        <w:t>建立刚性支出、社保缴费、就业成本和劳动力系数特殊对象照护费核减机制</w:t>
      </w:r>
      <w:bookmarkEnd w:id="13"/>
      <w:r>
        <w:rPr>
          <w:rFonts w:hint="eastAsia" w:ascii="仿宋" w:hAnsi="仿宋" w:eastAsia="仿宋" w:cs="仿宋"/>
          <w:sz w:val="28"/>
          <w:szCs w:val="28"/>
        </w:rPr>
        <w:t>，确保因残、因病、因学等刚性支出大的支出型贫困家庭能够享受救助。规范低保审核审批程序，规范受理条件、申请材料和办事流程，完善救助信息化管理，规范救助行政文书,完善家庭经济状况核对机制，确保救助精准化。持续开展农村低保专项治理，坚决查处农村低保经办服务中的腐败和作风问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不断完善特困人员供养制度，提高供养水平和护理标准，城乡特困供养年标准分别从6000元、2800元提高9600元、6000元，年均增长15%和29%。全护理、半护理和全自理照料护理年标准分别为2160元、1440元和720元。累计救助城乡特困对象23万人次，发放特困救助金1</w:t>
      </w:r>
      <w:r>
        <w:rPr>
          <w:rFonts w:ascii="仿宋" w:hAnsi="仿宋" w:eastAsia="仿宋" w:cs="仿宋"/>
          <w:sz w:val="28"/>
          <w:szCs w:val="28"/>
        </w:rPr>
        <w:t>.</w:t>
      </w:r>
      <w:r>
        <w:rPr>
          <w:rFonts w:hint="eastAsia" w:ascii="仿宋" w:hAnsi="仿宋" w:eastAsia="仿宋" w:cs="仿宋"/>
          <w:sz w:val="28"/>
          <w:szCs w:val="28"/>
        </w:rPr>
        <w:t>0092亿元。对敬老院进行整合优化资源配置，完善敬老院硬件设施改造，全市45所农村敬老院已经全部进行法人登记，配备微型消防站和烟感报警、视频监控、紧急呼叫、智慧用电监管系统，认真抓好敬老院安全管理工作，扎实做好安全防范工作，杜绝各类安全事故发生。</w:t>
      </w:r>
    </w:p>
    <w:p>
      <w:pPr>
        <w:spacing w:line="360" w:lineRule="auto"/>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2  </w:t>
      </w:r>
      <w:r>
        <w:rPr>
          <w:rFonts w:hint="eastAsia" w:ascii="仿宋" w:hAnsi="仿宋" w:eastAsia="仿宋" w:cs="仿宋"/>
          <w:sz w:val="28"/>
          <w:szCs w:val="28"/>
        </w:rPr>
        <w:t>2020年焦作市特困人员救助供养情况</w:t>
      </w:r>
    </w:p>
    <w:tbl>
      <w:tblPr>
        <w:tblStyle w:val="15"/>
        <w:tblW w:w="9277" w:type="dxa"/>
        <w:tblInd w:w="-5" w:type="dxa"/>
        <w:tblLayout w:type="autofit"/>
        <w:tblCellMar>
          <w:top w:w="0" w:type="dxa"/>
          <w:left w:w="108" w:type="dxa"/>
          <w:bottom w:w="0" w:type="dxa"/>
          <w:right w:w="108" w:type="dxa"/>
        </w:tblCellMar>
      </w:tblPr>
      <w:tblGrid>
        <w:gridCol w:w="979"/>
        <w:gridCol w:w="699"/>
        <w:gridCol w:w="699"/>
        <w:gridCol w:w="707"/>
        <w:gridCol w:w="629"/>
        <w:gridCol w:w="612"/>
        <w:gridCol w:w="738"/>
        <w:gridCol w:w="1014"/>
        <w:gridCol w:w="621"/>
        <w:gridCol w:w="645"/>
        <w:gridCol w:w="612"/>
        <w:gridCol w:w="669"/>
        <w:gridCol w:w="653"/>
      </w:tblGrid>
      <w:tr>
        <w:tblPrEx>
          <w:tblCellMar>
            <w:top w:w="0" w:type="dxa"/>
            <w:left w:w="108" w:type="dxa"/>
            <w:bottom w:w="0" w:type="dxa"/>
            <w:right w:w="108" w:type="dxa"/>
          </w:tblCellMar>
        </w:tblPrEx>
        <w:trPr>
          <w:trHeight w:val="285" w:hRule="atLeast"/>
        </w:trPr>
        <w:tc>
          <w:tcPr>
            <w:tcW w:w="9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市（县）名称</w:t>
            </w:r>
          </w:p>
        </w:tc>
        <w:tc>
          <w:tcPr>
            <w:tcW w:w="8298" w:type="dxa"/>
            <w:gridSpan w:val="1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农村特困人员</w:t>
            </w:r>
          </w:p>
        </w:tc>
      </w:tr>
      <w:tr>
        <w:tblPrEx>
          <w:tblCellMar>
            <w:top w:w="0" w:type="dxa"/>
            <w:left w:w="108" w:type="dxa"/>
            <w:bottom w:w="0" w:type="dxa"/>
            <w:right w:w="108" w:type="dxa"/>
          </w:tblCellMar>
        </w:tblPrEx>
        <w:trPr>
          <w:trHeight w:val="285" w:hRule="atLeast"/>
        </w:trPr>
        <w:tc>
          <w:tcPr>
            <w:tcW w:w="9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0"/>
                <w:szCs w:val="20"/>
              </w:rPr>
            </w:pPr>
          </w:p>
        </w:tc>
        <w:tc>
          <w:tcPr>
            <w:tcW w:w="69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农村特困人数</w:t>
            </w:r>
          </w:p>
        </w:tc>
        <w:tc>
          <w:tcPr>
            <w:tcW w:w="203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按自理能力分类</w:t>
            </w:r>
          </w:p>
        </w:tc>
        <w:tc>
          <w:tcPr>
            <w:tcW w:w="298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按人员分类</w:t>
            </w:r>
          </w:p>
        </w:tc>
        <w:tc>
          <w:tcPr>
            <w:tcW w:w="6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集中</w:t>
            </w:r>
            <w:r>
              <w:rPr>
                <w:rFonts w:hint="eastAsia" w:ascii="仿宋_GB2312" w:hAnsi="宋体" w:eastAsia="仿宋_GB2312" w:cs="仿宋_GB2312"/>
                <w:color w:val="000000"/>
                <w:kern w:val="0"/>
                <w:sz w:val="16"/>
                <w:szCs w:val="16"/>
                <w:lang w:bidi="ar"/>
              </w:rPr>
              <w:br w:type="textWrapping"/>
            </w:r>
            <w:r>
              <w:rPr>
                <w:rFonts w:hint="eastAsia" w:ascii="仿宋_GB2312" w:hAnsi="宋体" w:eastAsia="仿宋_GB2312" w:cs="仿宋_GB2312"/>
                <w:color w:val="000000"/>
                <w:kern w:val="0"/>
                <w:sz w:val="16"/>
                <w:szCs w:val="16"/>
                <w:lang w:bidi="ar"/>
              </w:rPr>
              <w:t>供养人数</w:t>
            </w:r>
          </w:p>
        </w:tc>
        <w:tc>
          <w:tcPr>
            <w:tcW w:w="612" w:type="dxa"/>
            <w:vMerge w:val="restart"/>
            <w:tcBorders>
              <w:top w:val="nil"/>
              <w:left w:val="nil"/>
              <w:right w:val="single" w:color="auto" w:sz="4" w:space="0"/>
            </w:tcBorders>
            <w:shd w:val="clear" w:color="auto" w:fill="auto"/>
            <w:vAlign w:val="center"/>
          </w:tcPr>
          <w:p>
            <w:pPr>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一档</w:t>
            </w:r>
          </w:p>
        </w:tc>
        <w:tc>
          <w:tcPr>
            <w:tcW w:w="669" w:type="dxa"/>
            <w:vMerge w:val="restart"/>
            <w:tcBorders>
              <w:top w:val="nil"/>
              <w:left w:val="nil"/>
              <w:right w:val="single" w:color="auto" w:sz="4" w:space="0"/>
            </w:tcBorders>
            <w:shd w:val="clear" w:color="auto" w:fill="auto"/>
            <w:vAlign w:val="center"/>
          </w:tcPr>
          <w:p>
            <w:pPr>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二档</w:t>
            </w:r>
          </w:p>
        </w:tc>
        <w:tc>
          <w:tcPr>
            <w:tcW w:w="653" w:type="dxa"/>
            <w:vMerge w:val="restart"/>
            <w:tcBorders>
              <w:top w:val="nil"/>
              <w:left w:val="nil"/>
              <w:right w:val="single" w:color="auto" w:sz="4" w:space="0"/>
            </w:tcBorders>
            <w:shd w:val="clear" w:color="auto" w:fill="auto"/>
            <w:vAlign w:val="center"/>
          </w:tcPr>
          <w:p>
            <w:pPr>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三档</w:t>
            </w:r>
          </w:p>
        </w:tc>
      </w:tr>
      <w:tr>
        <w:tblPrEx>
          <w:tblCellMar>
            <w:top w:w="0" w:type="dxa"/>
            <w:left w:w="108" w:type="dxa"/>
            <w:bottom w:w="0" w:type="dxa"/>
            <w:right w:w="108" w:type="dxa"/>
          </w:tblCellMar>
        </w:tblPrEx>
        <w:trPr>
          <w:trHeight w:val="855" w:hRule="atLeast"/>
        </w:trPr>
        <w:tc>
          <w:tcPr>
            <w:tcW w:w="9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0"/>
                <w:szCs w:val="20"/>
              </w:rPr>
            </w:pPr>
          </w:p>
        </w:tc>
        <w:tc>
          <w:tcPr>
            <w:tcW w:w="699"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kern w:val="0"/>
                <w:sz w:val="20"/>
                <w:szCs w:val="20"/>
              </w:rPr>
            </w:pPr>
          </w:p>
        </w:tc>
        <w:tc>
          <w:tcPr>
            <w:tcW w:w="69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一档</w:t>
            </w:r>
          </w:p>
        </w:tc>
        <w:tc>
          <w:tcPr>
            <w:tcW w:w="707"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二档</w:t>
            </w:r>
          </w:p>
        </w:tc>
        <w:tc>
          <w:tcPr>
            <w:tcW w:w="62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三档</w:t>
            </w:r>
          </w:p>
        </w:tc>
        <w:tc>
          <w:tcPr>
            <w:tcW w:w="61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女性</w:t>
            </w:r>
          </w:p>
        </w:tc>
        <w:tc>
          <w:tcPr>
            <w:tcW w:w="73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老年人</w:t>
            </w:r>
          </w:p>
        </w:tc>
        <w:tc>
          <w:tcPr>
            <w:tcW w:w="1014"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未满16周岁的未成年人</w:t>
            </w:r>
          </w:p>
        </w:tc>
        <w:tc>
          <w:tcPr>
            <w:tcW w:w="621"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残疾人</w:t>
            </w:r>
          </w:p>
        </w:tc>
        <w:tc>
          <w:tcPr>
            <w:tcW w:w="645" w:type="dxa"/>
            <w:vMerge w:val="continue"/>
            <w:tcBorders>
              <w:top w:val="nil"/>
              <w:left w:val="single" w:color="auto" w:sz="4" w:space="0"/>
              <w:bottom w:val="single" w:color="auto" w:sz="4" w:space="0"/>
              <w:right w:val="single" w:color="auto" w:sz="4" w:space="0"/>
            </w:tcBorders>
            <w:vAlign w:val="center"/>
          </w:tcPr>
          <w:p>
            <w:pPr>
              <w:jc w:val="center"/>
              <w:rPr>
                <w:rFonts w:ascii="仿宋" w:hAnsi="仿宋" w:eastAsia="仿宋" w:cs="宋体"/>
                <w:kern w:val="0"/>
                <w:sz w:val="20"/>
                <w:szCs w:val="20"/>
              </w:rPr>
            </w:pPr>
          </w:p>
        </w:tc>
        <w:tc>
          <w:tcPr>
            <w:tcW w:w="612"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p>
        </w:tc>
        <w:tc>
          <w:tcPr>
            <w:tcW w:w="669"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p>
        </w:tc>
        <w:tc>
          <w:tcPr>
            <w:tcW w:w="65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解放区</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中站区</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70</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13</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23</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34</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70</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38</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16</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16</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马村区</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81</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w:t>
            </w:r>
          </w:p>
        </w:tc>
        <w:tc>
          <w:tcPr>
            <w:tcW w:w="70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w:t>
            </w:r>
          </w:p>
        </w:tc>
        <w:tc>
          <w:tcPr>
            <w:tcW w:w="62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73</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8</w:t>
            </w:r>
          </w:p>
        </w:tc>
        <w:tc>
          <w:tcPr>
            <w:tcW w:w="73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73</w:t>
            </w: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w:t>
            </w:r>
          </w:p>
        </w:tc>
        <w:tc>
          <w:tcPr>
            <w:tcW w:w="64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26</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66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23</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山阳区</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7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9 </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69" w:type="dxa"/>
            <w:tcBorders>
              <w:top w:val="nil"/>
              <w:left w:val="nil"/>
              <w:bottom w:val="single" w:color="auto" w:sz="4" w:space="0"/>
              <w:right w:val="nil"/>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53"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示范区</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276 </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21 </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42 </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213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35 </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209 </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52 </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119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16 </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26 </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77 </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修武县</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428</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41</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186</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201</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20</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323</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30</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250</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28</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122</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100</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博爱县</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788</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55</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270</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463</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99</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443</w:t>
            </w:r>
          </w:p>
        </w:tc>
        <w:tc>
          <w:tcPr>
            <w:tcW w:w="1014" w:type="dxa"/>
            <w:tcBorders>
              <w:top w:val="nil"/>
              <w:left w:val="nil"/>
              <w:bottom w:val="single" w:color="auto" w:sz="4" w:space="0"/>
              <w:right w:val="single" w:color="auto" w:sz="4" w:space="0"/>
            </w:tcBorders>
            <w:shd w:val="clear" w:color="000000" w:fill="FFFFFF"/>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522</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242</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32</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88</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122</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武陟县</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1215</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398</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482</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335</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114</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934</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464</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350</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136</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158</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56</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温县</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845</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91 </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254 </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500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96 </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547 </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13</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457</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262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38 </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84 </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140 </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沁阳市</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886</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50 </w:t>
            </w:r>
          </w:p>
        </w:tc>
        <w:tc>
          <w:tcPr>
            <w:tcW w:w="70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124 </w:t>
            </w:r>
          </w:p>
        </w:tc>
        <w:tc>
          <w:tcPr>
            <w:tcW w:w="62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448 </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114 </w:t>
            </w:r>
          </w:p>
        </w:tc>
        <w:tc>
          <w:tcPr>
            <w:tcW w:w="73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494 </w:t>
            </w: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12 </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552 </w:t>
            </w:r>
          </w:p>
        </w:tc>
        <w:tc>
          <w:tcPr>
            <w:tcW w:w="64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264 </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43 </w:t>
            </w:r>
          </w:p>
        </w:tc>
        <w:tc>
          <w:tcPr>
            <w:tcW w:w="66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99 </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122 </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孟州市</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794</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59 </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181 </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554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26 </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480 </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3 </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280 </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317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26 </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97 </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194 </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市福利院</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70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73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4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6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r>
      <w:tr>
        <w:tblPrEx>
          <w:tblCellMar>
            <w:top w:w="0" w:type="dxa"/>
            <w:left w:w="108" w:type="dxa"/>
            <w:bottom w:w="0" w:type="dxa"/>
            <w:right w:w="108" w:type="dxa"/>
          </w:tblCellMar>
        </w:tblPrEx>
        <w:trPr>
          <w:trHeight w:val="394"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合计</w:t>
            </w:r>
          </w:p>
        </w:tc>
        <w:tc>
          <w:tcPr>
            <w:tcW w:w="6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5395</w:t>
            </w:r>
          </w:p>
        </w:tc>
        <w:tc>
          <w:tcPr>
            <w:tcW w:w="6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733</w:t>
            </w:r>
          </w:p>
        </w:tc>
        <w:tc>
          <w:tcPr>
            <w:tcW w:w="70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1567</w:t>
            </w:r>
          </w:p>
        </w:tc>
        <w:tc>
          <w:tcPr>
            <w:tcW w:w="62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2831</w:t>
            </w:r>
          </w:p>
        </w:tc>
        <w:tc>
          <w:tcPr>
            <w:tcW w:w="61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513</w:t>
            </w:r>
          </w:p>
        </w:tc>
        <w:tc>
          <w:tcPr>
            <w:tcW w:w="73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3512</w:t>
            </w:r>
          </w:p>
        </w:tc>
        <w:tc>
          <w:tcPr>
            <w:tcW w:w="101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41</w:t>
            </w:r>
          </w:p>
        </w:tc>
        <w:tc>
          <w:tcPr>
            <w:tcW w:w="62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2402</w:t>
            </w:r>
          </w:p>
        </w:tc>
        <w:tc>
          <w:tcPr>
            <w:tcW w:w="64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1848</w:t>
            </w:r>
          </w:p>
        </w:tc>
        <w:tc>
          <w:tcPr>
            <w:tcW w:w="61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321</w:t>
            </w:r>
          </w:p>
        </w:tc>
        <w:tc>
          <w:tcPr>
            <w:tcW w:w="66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676</w:t>
            </w:r>
          </w:p>
        </w:tc>
        <w:tc>
          <w:tcPr>
            <w:tcW w:w="65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853</w:t>
            </w:r>
          </w:p>
        </w:tc>
      </w:tr>
      <w:tr>
        <w:tblPrEx>
          <w:tblCellMar>
            <w:top w:w="0" w:type="dxa"/>
            <w:left w:w="108" w:type="dxa"/>
            <w:bottom w:w="0" w:type="dxa"/>
            <w:right w:w="108" w:type="dxa"/>
          </w:tblCellMar>
        </w:tblPrEx>
        <w:trPr>
          <w:trHeight w:val="285" w:hRule="atLeast"/>
        </w:trPr>
        <w:tc>
          <w:tcPr>
            <w:tcW w:w="97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市（县）名称</w:t>
            </w:r>
          </w:p>
        </w:tc>
        <w:tc>
          <w:tcPr>
            <w:tcW w:w="8298"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城市特困人员</w:t>
            </w:r>
          </w:p>
        </w:tc>
      </w:tr>
      <w:tr>
        <w:tblPrEx>
          <w:tblCellMar>
            <w:top w:w="0" w:type="dxa"/>
            <w:left w:w="108" w:type="dxa"/>
            <w:bottom w:w="0" w:type="dxa"/>
            <w:right w:w="108" w:type="dxa"/>
          </w:tblCellMar>
        </w:tblPrEx>
        <w:trPr>
          <w:trHeight w:val="315" w:hRule="atLeast"/>
        </w:trPr>
        <w:tc>
          <w:tcPr>
            <w:tcW w:w="9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0"/>
                <w:szCs w:val="20"/>
              </w:rPr>
            </w:pPr>
          </w:p>
        </w:tc>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城市</w:t>
            </w:r>
            <w:r>
              <w:rPr>
                <w:rFonts w:hint="eastAsia" w:ascii="仿宋_GB2312" w:hAnsi="宋体" w:eastAsia="仿宋_GB2312" w:cs="仿宋_GB2312"/>
                <w:color w:val="000000"/>
                <w:kern w:val="0"/>
                <w:sz w:val="16"/>
                <w:szCs w:val="16"/>
                <w:lang w:bidi="ar"/>
              </w:rPr>
              <w:br w:type="textWrapping"/>
            </w:r>
            <w:r>
              <w:rPr>
                <w:rFonts w:hint="eastAsia" w:ascii="仿宋_GB2312" w:hAnsi="宋体" w:eastAsia="仿宋_GB2312" w:cs="仿宋_GB2312"/>
                <w:color w:val="000000"/>
                <w:kern w:val="0"/>
                <w:sz w:val="16"/>
                <w:szCs w:val="16"/>
                <w:lang w:bidi="ar"/>
              </w:rPr>
              <w:t>特困人数</w:t>
            </w:r>
          </w:p>
        </w:tc>
        <w:tc>
          <w:tcPr>
            <w:tcW w:w="203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按自理能力分类</w:t>
            </w:r>
          </w:p>
        </w:tc>
        <w:tc>
          <w:tcPr>
            <w:tcW w:w="29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按人员分类</w:t>
            </w:r>
          </w:p>
        </w:tc>
        <w:tc>
          <w:tcPr>
            <w:tcW w:w="64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集中</w:t>
            </w:r>
            <w:r>
              <w:rPr>
                <w:rFonts w:hint="eastAsia" w:ascii="仿宋_GB2312" w:hAnsi="宋体" w:eastAsia="仿宋_GB2312" w:cs="仿宋_GB2312"/>
                <w:color w:val="000000"/>
                <w:kern w:val="0"/>
                <w:sz w:val="16"/>
                <w:szCs w:val="16"/>
                <w:lang w:bidi="ar"/>
              </w:rPr>
              <w:br w:type="textWrapping"/>
            </w:r>
            <w:r>
              <w:rPr>
                <w:rFonts w:hint="eastAsia" w:ascii="仿宋_GB2312" w:hAnsi="宋体" w:eastAsia="仿宋_GB2312" w:cs="仿宋_GB2312"/>
                <w:color w:val="000000"/>
                <w:kern w:val="0"/>
                <w:sz w:val="16"/>
                <w:szCs w:val="16"/>
                <w:lang w:bidi="ar"/>
              </w:rPr>
              <w:t>供养人数</w:t>
            </w:r>
          </w:p>
        </w:tc>
        <w:tc>
          <w:tcPr>
            <w:tcW w:w="612" w:type="dxa"/>
            <w:vMerge w:val="restart"/>
            <w:tcBorders>
              <w:top w:val="single" w:color="auto" w:sz="4" w:space="0"/>
              <w:left w:val="single" w:color="auto" w:sz="4" w:space="0"/>
              <w:right w:val="single" w:color="auto" w:sz="4" w:space="0"/>
            </w:tcBorders>
            <w:shd w:val="clear" w:color="auto" w:fill="auto"/>
            <w:vAlign w:val="center"/>
          </w:tcPr>
          <w:p>
            <w:pPr>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一档</w:t>
            </w:r>
          </w:p>
        </w:tc>
        <w:tc>
          <w:tcPr>
            <w:tcW w:w="669" w:type="dxa"/>
            <w:vMerge w:val="restart"/>
            <w:tcBorders>
              <w:top w:val="single" w:color="auto" w:sz="4" w:space="0"/>
              <w:left w:val="single" w:color="auto" w:sz="4" w:space="0"/>
              <w:right w:val="single" w:color="auto" w:sz="4" w:space="0"/>
            </w:tcBorders>
            <w:shd w:val="clear" w:color="auto" w:fill="auto"/>
            <w:vAlign w:val="center"/>
          </w:tcPr>
          <w:p>
            <w:pPr>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二档</w:t>
            </w:r>
          </w:p>
        </w:tc>
        <w:tc>
          <w:tcPr>
            <w:tcW w:w="653" w:type="dxa"/>
            <w:vMerge w:val="restart"/>
            <w:tcBorders>
              <w:top w:val="single" w:color="auto" w:sz="4" w:space="0"/>
              <w:left w:val="single" w:color="auto" w:sz="4" w:space="0"/>
              <w:right w:val="single" w:color="auto" w:sz="4" w:space="0"/>
            </w:tcBorders>
            <w:shd w:val="clear" w:color="auto" w:fill="auto"/>
            <w:vAlign w:val="center"/>
          </w:tcPr>
          <w:p>
            <w:pPr>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三档</w:t>
            </w:r>
          </w:p>
        </w:tc>
      </w:tr>
      <w:tr>
        <w:tblPrEx>
          <w:tblCellMar>
            <w:top w:w="0" w:type="dxa"/>
            <w:left w:w="108" w:type="dxa"/>
            <w:bottom w:w="0" w:type="dxa"/>
            <w:right w:w="108" w:type="dxa"/>
          </w:tblCellMar>
        </w:tblPrEx>
        <w:trPr>
          <w:trHeight w:val="465" w:hRule="atLeast"/>
        </w:trPr>
        <w:tc>
          <w:tcPr>
            <w:tcW w:w="9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kern w:val="0"/>
                <w:sz w:val="20"/>
                <w:szCs w:val="20"/>
              </w:rPr>
            </w:pPr>
          </w:p>
        </w:tc>
        <w:tc>
          <w:tcPr>
            <w:tcW w:w="699" w:type="dxa"/>
            <w:vMerge w:val="continue"/>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kern w:val="0"/>
                <w:sz w:val="20"/>
                <w:szCs w:val="20"/>
              </w:rPr>
            </w:pPr>
          </w:p>
        </w:tc>
        <w:tc>
          <w:tcPr>
            <w:tcW w:w="6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一档</w:t>
            </w:r>
          </w:p>
        </w:tc>
        <w:tc>
          <w:tcPr>
            <w:tcW w:w="7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二档</w:t>
            </w:r>
          </w:p>
        </w:tc>
        <w:tc>
          <w:tcPr>
            <w:tcW w:w="629"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三档</w:t>
            </w:r>
          </w:p>
        </w:tc>
        <w:tc>
          <w:tcPr>
            <w:tcW w:w="6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女性</w:t>
            </w:r>
          </w:p>
        </w:tc>
        <w:tc>
          <w:tcPr>
            <w:tcW w:w="7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老年人</w:t>
            </w:r>
          </w:p>
        </w:tc>
        <w:tc>
          <w:tcPr>
            <w:tcW w:w="101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未满16周岁的未成年人</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残疾人</w:t>
            </w:r>
          </w:p>
        </w:tc>
        <w:tc>
          <w:tcPr>
            <w:tcW w:w="645" w:type="dxa"/>
            <w:vMerge w:val="continue"/>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kern w:val="0"/>
                <w:sz w:val="20"/>
                <w:szCs w:val="20"/>
              </w:rPr>
            </w:pPr>
          </w:p>
        </w:tc>
        <w:tc>
          <w:tcPr>
            <w:tcW w:w="612"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p>
        </w:tc>
        <w:tc>
          <w:tcPr>
            <w:tcW w:w="669"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p>
        </w:tc>
        <w:tc>
          <w:tcPr>
            <w:tcW w:w="65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解放区</w:t>
            </w:r>
          </w:p>
        </w:tc>
        <w:tc>
          <w:tcPr>
            <w:tcW w:w="699"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699"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707" w:type="dxa"/>
            <w:tcBorders>
              <w:top w:val="nil"/>
              <w:left w:val="nil"/>
              <w:bottom w:val="single" w:color="auto" w:sz="4" w:space="0"/>
              <w:right w:val="single" w:color="auto" w:sz="4" w:space="0"/>
            </w:tcBorders>
            <w:shd w:val="clear" w:color="auto" w:fill="auto"/>
            <w:vAlign w:val="bottom"/>
          </w:tcPr>
          <w:p>
            <w:pPr>
              <w:jc w:val="center"/>
              <w:rPr>
                <w:rFonts w:ascii="仿宋" w:hAnsi="仿宋" w:eastAsia="仿宋" w:cs="宋体"/>
                <w:kern w:val="0"/>
                <w:sz w:val="20"/>
                <w:szCs w:val="20"/>
              </w:rPr>
            </w:pPr>
          </w:p>
        </w:tc>
        <w:tc>
          <w:tcPr>
            <w:tcW w:w="629"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12"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738"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1014"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1"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45"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12"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69"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53"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中站区</w:t>
            </w:r>
          </w:p>
        </w:tc>
        <w:tc>
          <w:tcPr>
            <w:tcW w:w="699"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699"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707"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9"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612"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738"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1014"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1"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645"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12"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69"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53" w:type="dxa"/>
            <w:tcBorders>
              <w:top w:val="nil"/>
              <w:left w:val="nil"/>
              <w:bottom w:val="single" w:color="auto" w:sz="4" w:space="0"/>
              <w:right w:val="single" w:color="auto" w:sz="4" w:space="0"/>
            </w:tcBorders>
            <w:shd w:val="clear" w:color="auto" w:fill="auto"/>
            <w:vAlign w:val="bottom"/>
          </w:tcPr>
          <w:p>
            <w:pPr>
              <w:widowControl/>
              <w:jc w:val="center"/>
              <w:textAlignment w:val="bottom"/>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马村区</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山阳区</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3 </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示范区</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r>
      <w:tr>
        <w:tblPrEx>
          <w:tblCellMar>
            <w:top w:w="0" w:type="dxa"/>
            <w:left w:w="108" w:type="dxa"/>
            <w:bottom w:w="0" w:type="dxa"/>
            <w:right w:w="108" w:type="dxa"/>
          </w:tblCellMar>
        </w:tblPrEx>
        <w:trPr>
          <w:trHeight w:val="494" w:hRule="atLeast"/>
        </w:trPr>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修武县</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8</w:t>
            </w:r>
          </w:p>
        </w:tc>
        <w:tc>
          <w:tcPr>
            <w:tcW w:w="6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70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3</w:t>
            </w:r>
          </w:p>
        </w:tc>
        <w:tc>
          <w:tcPr>
            <w:tcW w:w="62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1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2</w:t>
            </w:r>
          </w:p>
        </w:tc>
        <w:tc>
          <w:tcPr>
            <w:tcW w:w="73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5</w:t>
            </w:r>
          </w:p>
        </w:tc>
        <w:tc>
          <w:tcPr>
            <w:tcW w:w="101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0</w:t>
            </w:r>
          </w:p>
        </w:tc>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4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61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6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5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pPr>
            <w:r>
              <w:rPr>
                <w:rFonts w:hint="eastAsia" w:ascii="仿宋_GB2312" w:hAnsi="宋体" w:eastAsia="仿宋_GB2312" w:cs="仿宋_GB2312"/>
                <w:color w:val="000000"/>
                <w:kern w:val="0"/>
                <w:sz w:val="16"/>
                <w:szCs w:val="16"/>
                <w:lang w:bidi="ar"/>
              </w:rPr>
              <w:t>0</w:t>
            </w:r>
          </w:p>
        </w:tc>
      </w:tr>
      <w:tr>
        <w:tblPrEx>
          <w:tblCellMar>
            <w:top w:w="0" w:type="dxa"/>
            <w:left w:w="108" w:type="dxa"/>
            <w:bottom w:w="0" w:type="dxa"/>
            <w:right w:w="108" w:type="dxa"/>
          </w:tblCellMar>
        </w:tblPrEx>
        <w:trPr>
          <w:trHeight w:val="416" w:hRule="atLeast"/>
        </w:trPr>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博爱县</w:t>
            </w:r>
          </w:p>
        </w:tc>
        <w:tc>
          <w:tcPr>
            <w:tcW w:w="6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27</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14</w:t>
            </w:r>
          </w:p>
        </w:tc>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7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12</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20</w:t>
            </w:r>
          </w:p>
        </w:tc>
        <w:tc>
          <w:tcPr>
            <w:tcW w:w="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武陟县</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14</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w:t>
            </w: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c>
          <w:tcPr>
            <w:tcW w:w="621" w:type="dxa"/>
            <w:tcBorders>
              <w:top w:val="nil"/>
              <w:left w:val="nil"/>
              <w:bottom w:val="single" w:color="auto" w:sz="4" w:space="0"/>
              <w:right w:val="single" w:color="auto" w:sz="4" w:space="0"/>
            </w:tcBorders>
            <w:shd w:val="clear" w:color="000000" w:fill="FFFFFF"/>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8</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w:t>
            </w: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0</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温县</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70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 </w:t>
            </w:r>
          </w:p>
        </w:tc>
        <w:tc>
          <w:tcPr>
            <w:tcW w:w="62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7 </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3 </w:t>
            </w:r>
          </w:p>
        </w:tc>
        <w:tc>
          <w:tcPr>
            <w:tcW w:w="73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 </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w:t>
            </w:r>
          </w:p>
        </w:tc>
        <w:tc>
          <w:tcPr>
            <w:tcW w:w="64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6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沁阳市</w:t>
            </w:r>
          </w:p>
        </w:tc>
        <w:tc>
          <w:tcPr>
            <w:tcW w:w="69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30</w:t>
            </w:r>
          </w:p>
        </w:tc>
        <w:tc>
          <w:tcPr>
            <w:tcW w:w="699"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kern w:val="0"/>
                <w:sz w:val="20"/>
                <w:szCs w:val="20"/>
              </w:rPr>
            </w:pPr>
          </w:p>
        </w:tc>
        <w:tc>
          <w:tcPr>
            <w:tcW w:w="70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13 </w:t>
            </w:r>
          </w:p>
        </w:tc>
        <w:tc>
          <w:tcPr>
            <w:tcW w:w="62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17 </w:t>
            </w:r>
          </w:p>
        </w:tc>
        <w:tc>
          <w:tcPr>
            <w:tcW w:w="6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5 </w:t>
            </w:r>
          </w:p>
        </w:tc>
        <w:tc>
          <w:tcPr>
            <w:tcW w:w="73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25 </w:t>
            </w:r>
          </w:p>
        </w:tc>
        <w:tc>
          <w:tcPr>
            <w:tcW w:w="101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7 </w:t>
            </w:r>
          </w:p>
        </w:tc>
        <w:tc>
          <w:tcPr>
            <w:tcW w:w="64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22 </w:t>
            </w:r>
          </w:p>
        </w:tc>
        <w:tc>
          <w:tcPr>
            <w:tcW w:w="612"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s="宋体"/>
                <w:kern w:val="0"/>
                <w:sz w:val="20"/>
                <w:szCs w:val="20"/>
              </w:rPr>
            </w:pPr>
          </w:p>
        </w:tc>
        <w:tc>
          <w:tcPr>
            <w:tcW w:w="66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13 </w:t>
            </w:r>
          </w:p>
        </w:tc>
        <w:tc>
          <w:tcPr>
            <w:tcW w:w="6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17 </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孟州市</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70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3 </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73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3 </w:t>
            </w: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4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6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 xml:space="preserve">0 </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市福利院</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107</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90</w:t>
            </w:r>
          </w:p>
        </w:tc>
        <w:tc>
          <w:tcPr>
            <w:tcW w:w="70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w:t>
            </w:r>
          </w:p>
        </w:tc>
        <w:tc>
          <w:tcPr>
            <w:tcW w:w="62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10</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35</w:t>
            </w:r>
          </w:p>
        </w:tc>
        <w:tc>
          <w:tcPr>
            <w:tcW w:w="73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19</w:t>
            </w: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6</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97</w:t>
            </w:r>
          </w:p>
        </w:tc>
        <w:tc>
          <w:tcPr>
            <w:tcW w:w="64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107</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90</w:t>
            </w:r>
          </w:p>
        </w:tc>
        <w:tc>
          <w:tcPr>
            <w:tcW w:w="66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10</w:t>
            </w:r>
          </w:p>
        </w:tc>
      </w:tr>
      <w:tr>
        <w:tblPrEx>
          <w:tblCellMar>
            <w:top w:w="0" w:type="dxa"/>
            <w:left w:w="108" w:type="dxa"/>
            <w:bottom w:w="0" w:type="dxa"/>
            <w:right w:w="108" w:type="dxa"/>
          </w:tblCellMar>
        </w:tblPrEx>
        <w:trPr>
          <w:trHeight w:val="465" w:hRule="atLeast"/>
        </w:trPr>
        <w:tc>
          <w:tcPr>
            <w:tcW w:w="979"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合计</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210</w:t>
            </w:r>
          </w:p>
        </w:tc>
        <w:tc>
          <w:tcPr>
            <w:tcW w:w="69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107</w:t>
            </w:r>
          </w:p>
        </w:tc>
        <w:tc>
          <w:tcPr>
            <w:tcW w:w="70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42</w:t>
            </w:r>
          </w:p>
        </w:tc>
        <w:tc>
          <w:tcPr>
            <w:tcW w:w="62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60</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59</w:t>
            </w:r>
          </w:p>
        </w:tc>
        <w:tc>
          <w:tcPr>
            <w:tcW w:w="73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81</w:t>
            </w: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7</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145</w:t>
            </w:r>
          </w:p>
        </w:tc>
        <w:tc>
          <w:tcPr>
            <w:tcW w:w="64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140</w:t>
            </w:r>
          </w:p>
        </w:tc>
        <w:tc>
          <w:tcPr>
            <w:tcW w:w="61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95</w:t>
            </w:r>
          </w:p>
        </w:tc>
        <w:tc>
          <w:tcPr>
            <w:tcW w:w="66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25</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宋体"/>
                <w:kern w:val="0"/>
                <w:sz w:val="20"/>
                <w:szCs w:val="20"/>
              </w:rPr>
            </w:pPr>
            <w:r>
              <w:rPr>
                <w:rFonts w:hint="eastAsia" w:ascii="仿宋_GB2312" w:hAnsi="宋体" w:eastAsia="仿宋_GB2312" w:cs="仿宋_GB2312"/>
                <w:color w:val="000000"/>
                <w:kern w:val="0"/>
                <w:sz w:val="16"/>
                <w:szCs w:val="16"/>
                <w:lang w:bidi="ar"/>
              </w:rPr>
              <w:t>28</w:t>
            </w:r>
          </w:p>
        </w:tc>
      </w:tr>
    </w:tbl>
    <w:p>
      <w:pPr>
        <w:pStyle w:val="3"/>
      </w:pPr>
      <w:bookmarkStart w:id="14" w:name="_Toc80116035"/>
      <w:r>
        <w:rPr>
          <w:rFonts w:hint="eastAsia"/>
        </w:rPr>
        <w:t xml:space="preserve">第二节 </w:t>
      </w:r>
      <w:r>
        <w:t xml:space="preserve"> </w:t>
      </w:r>
      <w:r>
        <w:rPr>
          <w:rFonts w:hint="eastAsia"/>
        </w:rPr>
        <w:t>养老服务体系逐步健全</w:t>
      </w:r>
      <w:bookmarkEnd w:id="14"/>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我市2017年被工业和信息化部、民政部和国家卫生计生委评为智慧健康养老应用试点示范基地，2019年被民政部、发展改革委、财政部、中国残联确定为康复辅助器具社区租赁服务试点地区，2020年成功入选国家第五批中央财政支持居家和社区养老服务改革试点，2020年6月被省民政厅、财政厅批准为“2020年河南省智慧养老服务平台建设试点市”。试点示范的先行加快推进多层次养老服务体系建设，促进我市养老服务业提速发展。持续推进养老服务体系建设。重点加强供养型养老机构建设。鼓励和支持社会力量兴办养老机构，落实财政扶持政策及用电、用水等优惠政策，全面提升居家和社区养老服务能力。</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连续两年将城市社区老年人日间照料中心列入全市民生幸福工程和重点民生实事，通过政府扶持、社会力量运营、市场化运作，不断巩固居家和社区养老服务在养老服务体系中的基础地位。我市城市社区老年人日间照料中心总数达到</w:t>
      </w:r>
      <w:r>
        <w:rPr>
          <w:rFonts w:ascii="仿宋" w:hAnsi="仿宋" w:eastAsia="仿宋" w:cs="仿宋"/>
          <w:sz w:val="28"/>
          <w:szCs w:val="28"/>
        </w:rPr>
        <w:t>181</w:t>
      </w:r>
      <w:r>
        <w:rPr>
          <w:rFonts w:hint="eastAsia" w:ascii="仿宋" w:hAnsi="仿宋" w:eastAsia="仿宋" w:cs="仿宋"/>
          <w:sz w:val="28"/>
          <w:szCs w:val="28"/>
        </w:rPr>
        <w:t>家，覆盖所有城市社区。</w:t>
      </w:r>
    </w:p>
    <w:p>
      <w:pPr>
        <w:spacing w:line="360" w:lineRule="auto"/>
        <w:jc w:val="center"/>
        <w:rPr>
          <w:rFonts w:ascii="仿宋" w:hAnsi="仿宋" w:eastAsia="仿宋" w:cs="仿宋"/>
          <w:color w:val="FF0000"/>
          <w:sz w:val="28"/>
          <w:szCs w:val="28"/>
        </w:rPr>
      </w:pPr>
      <w:r>
        <w:rPr>
          <w:rFonts w:hint="eastAsia" w:ascii="仿宋" w:hAnsi="仿宋" w:eastAsia="仿宋" w:cs="仿宋"/>
          <w:sz w:val="28"/>
          <w:szCs w:val="28"/>
        </w:rPr>
        <w:t>表</w:t>
      </w:r>
      <w:r>
        <w:rPr>
          <w:rFonts w:ascii="仿宋" w:hAnsi="仿宋" w:eastAsia="仿宋" w:cs="仿宋"/>
          <w:sz w:val="28"/>
          <w:szCs w:val="28"/>
        </w:rPr>
        <w:t xml:space="preserve">3  </w:t>
      </w:r>
      <w:r>
        <w:rPr>
          <w:rFonts w:hint="eastAsia" w:ascii="仿宋" w:hAnsi="仿宋" w:eastAsia="仿宋" w:cs="仿宋"/>
          <w:sz w:val="28"/>
          <w:szCs w:val="28"/>
        </w:rPr>
        <w:t>社区老年人日间照料中心统计情况</w:t>
      </w:r>
    </w:p>
    <w:tbl>
      <w:tblPr>
        <w:tblStyle w:val="15"/>
        <w:tblW w:w="9100" w:type="dxa"/>
        <w:jc w:val="center"/>
        <w:tblLayout w:type="autofit"/>
        <w:tblCellMar>
          <w:top w:w="0" w:type="dxa"/>
          <w:left w:w="108" w:type="dxa"/>
          <w:bottom w:w="0" w:type="dxa"/>
          <w:right w:w="108" w:type="dxa"/>
        </w:tblCellMar>
      </w:tblPr>
      <w:tblGrid>
        <w:gridCol w:w="700"/>
        <w:gridCol w:w="700"/>
        <w:gridCol w:w="700"/>
        <w:gridCol w:w="700"/>
        <w:gridCol w:w="700"/>
        <w:gridCol w:w="700"/>
        <w:gridCol w:w="700"/>
        <w:gridCol w:w="700"/>
        <w:gridCol w:w="700"/>
        <w:gridCol w:w="700"/>
        <w:gridCol w:w="700"/>
        <w:gridCol w:w="700"/>
        <w:gridCol w:w="700"/>
      </w:tblGrid>
      <w:tr>
        <w:tblPrEx>
          <w:tblCellMar>
            <w:top w:w="0" w:type="dxa"/>
            <w:left w:w="108" w:type="dxa"/>
            <w:bottom w:w="0" w:type="dxa"/>
            <w:right w:w="108" w:type="dxa"/>
          </w:tblCellMar>
        </w:tblPrEx>
        <w:trPr>
          <w:trHeight w:val="855"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县区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解放区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山阳区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中站区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马村区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示范区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沁阳市</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孟州市</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温县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博爱县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武陟县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修武县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合计</w:t>
            </w:r>
          </w:p>
        </w:tc>
      </w:tr>
      <w:tr>
        <w:tblPrEx>
          <w:tblCellMar>
            <w:top w:w="0" w:type="dxa"/>
            <w:left w:w="108" w:type="dxa"/>
            <w:bottom w:w="0" w:type="dxa"/>
            <w:right w:w="108" w:type="dxa"/>
          </w:tblCellMar>
        </w:tblPrEx>
        <w:trPr>
          <w:trHeight w:val="1020" w:hRule="atLeast"/>
          <w:jc w:val="center"/>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照料中心</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44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11</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9</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21</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16</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0"/>
                <w:szCs w:val="20"/>
              </w:rPr>
            </w:pPr>
            <w:r>
              <w:rPr>
                <w:rFonts w:ascii="等线" w:hAnsi="等线" w:eastAsia="等线" w:cs="宋体"/>
                <w:color w:val="000000"/>
                <w:kern w:val="0"/>
                <w:sz w:val="20"/>
                <w:szCs w:val="20"/>
              </w:rPr>
              <w:t>181</w:t>
            </w:r>
          </w:p>
        </w:tc>
      </w:tr>
    </w:tbl>
    <w:p>
      <w:pPr>
        <w:spacing w:line="360" w:lineRule="auto"/>
        <w:ind w:firstLine="420" w:firstLineChars="200"/>
        <w:rPr>
          <w:rFonts w:ascii="仿宋" w:hAnsi="仿宋" w:eastAsia="仿宋" w:cs="仿宋"/>
          <w:sz w:val="28"/>
          <w:szCs w:val="28"/>
        </w:rPr>
      </w:pPr>
      <w:r>
        <w:drawing>
          <wp:inline distT="0" distB="0" distL="0" distR="0">
            <wp:extent cx="5362575" cy="2876550"/>
            <wp:effectExtent l="0" t="0" r="9525"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图1</w:t>
      </w:r>
      <w:r>
        <w:rPr>
          <w:rFonts w:ascii="仿宋" w:hAnsi="仿宋" w:eastAsia="仿宋" w:cs="仿宋"/>
          <w:sz w:val="28"/>
          <w:szCs w:val="28"/>
        </w:rPr>
        <w:t xml:space="preserve">  </w:t>
      </w:r>
      <w:r>
        <w:rPr>
          <w:rFonts w:hint="eastAsia" w:ascii="仿宋" w:hAnsi="仿宋" w:eastAsia="仿宋" w:cs="仿宋"/>
          <w:sz w:val="28"/>
          <w:szCs w:val="28"/>
        </w:rPr>
        <w:t>社区老年人日间照料中心分布情况</w:t>
      </w:r>
    </w:p>
    <w:p>
      <w:pPr>
        <w:spacing w:line="360" w:lineRule="auto"/>
        <w:ind w:firstLine="560" w:firstLineChars="200"/>
        <w:rPr>
          <w:rFonts w:ascii="仿宋" w:hAnsi="仿宋" w:eastAsia="仿宋" w:cs="仿宋"/>
          <w:sz w:val="28"/>
          <w:szCs w:val="28"/>
        </w:rPr>
      </w:pPr>
      <w:r>
        <w:rPr>
          <w:rFonts w:hint="eastAsia" w:ascii="仿宋" w:hAnsi="仿宋" w:eastAsia="仿宋" w:cs="仿宋"/>
          <w:kern w:val="0"/>
          <w:sz w:val="28"/>
          <w:szCs w:val="28"/>
        </w:rPr>
        <w:t>探索建立智慧健康养老服务模式。</w:t>
      </w:r>
      <w:r>
        <w:rPr>
          <w:rFonts w:hint="eastAsia" w:ascii="仿宋" w:hAnsi="仿宋" w:eastAsia="仿宋" w:cs="仿宋"/>
          <w:sz w:val="28"/>
          <w:szCs w:val="28"/>
        </w:rPr>
        <w:t>充分发挥国家智慧健康养老应用试点示范基地带动作用，实施智慧养老服务网络覆盖计划，建成了市县两级“12349”居家养老服务信息平台和五城区信息分中心，开通12349居家养老服务热线，老年人足不出户即可享受到助餐、助浴、助洁、生活照料、康复护理、精神慰藉等便捷的上门服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大力支持医疗护理人员从事养老服务工作，设立养老护理员岗位补贴，养老护理员根据初级、中级、高级职业等级分别享受每人每月50元、100元、150元不等的岗位补贴。在养老机构从事一线护理员岗位的护理人员，根据其护理职业资格等级，享受养老护理员岗位补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大力加强农村幸福院建设。不断创新农村养老模式，拓展农村养老服务功能，多渠道筹集资金，建设包括老年活动中心、托老站、老年餐桌等在内的农村幸福院，着力解决农村低保、独居、空巢、留守、贫困等老年人的养老问题，我市农村幸福院总数达到</w:t>
      </w:r>
      <w:r>
        <w:rPr>
          <w:rFonts w:ascii="仿宋" w:hAnsi="仿宋" w:eastAsia="仿宋" w:cs="仿宋"/>
          <w:sz w:val="28"/>
          <w:szCs w:val="28"/>
        </w:rPr>
        <w:t>1014</w:t>
      </w:r>
      <w:r>
        <w:rPr>
          <w:rFonts w:hint="eastAsia" w:ascii="仿宋" w:hAnsi="仿宋" w:eastAsia="仿宋" w:cs="仿宋"/>
          <w:sz w:val="28"/>
          <w:szCs w:val="28"/>
        </w:rPr>
        <w:t>家，100%覆盖千人以上村。</w:t>
      </w:r>
    </w:p>
    <w:p>
      <w:pPr>
        <w:spacing w:line="360" w:lineRule="auto"/>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4  </w:t>
      </w:r>
      <w:r>
        <w:rPr>
          <w:rFonts w:hint="eastAsia" w:ascii="仿宋" w:hAnsi="仿宋" w:eastAsia="仿宋" w:cs="仿宋"/>
          <w:sz w:val="28"/>
          <w:szCs w:val="28"/>
        </w:rPr>
        <w:t>农村幸福院统计情况</w:t>
      </w:r>
    </w:p>
    <w:tbl>
      <w:tblPr>
        <w:tblStyle w:val="15"/>
        <w:tblW w:w="8880" w:type="dxa"/>
        <w:jc w:val="center"/>
        <w:tblLayout w:type="autofit"/>
        <w:tblCellMar>
          <w:top w:w="0" w:type="dxa"/>
          <w:left w:w="108" w:type="dxa"/>
          <w:bottom w:w="0" w:type="dxa"/>
          <w:right w:w="108" w:type="dxa"/>
        </w:tblCellMar>
      </w:tblPr>
      <w:tblGrid>
        <w:gridCol w:w="740"/>
        <w:gridCol w:w="740"/>
        <w:gridCol w:w="740"/>
        <w:gridCol w:w="740"/>
        <w:gridCol w:w="740"/>
        <w:gridCol w:w="740"/>
        <w:gridCol w:w="740"/>
        <w:gridCol w:w="740"/>
        <w:gridCol w:w="740"/>
        <w:gridCol w:w="740"/>
        <w:gridCol w:w="740"/>
        <w:gridCol w:w="740"/>
      </w:tblGrid>
      <w:tr>
        <w:tblPrEx>
          <w:tblCellMar>
            <w:top w:w="0" w:type="dxa"/>
            <w:left w:w="108" w:type="dxa"/>
            <w:bottom w:w="0" w:type="dxa"/>
            <w:right w:w="108" w:type="dxa"/>
          </w:tblCellMar>
        </w:tblPrEx>
        <w:trPr>
          <w:trHeight w:val="585"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县区</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山阳区</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中站区</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马村区</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示范区</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沁阳市</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孟州市</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温县</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博爱县</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武陟县</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修武县</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合计</w:t>
            </w:r>
          </w:p>
        </w:tc>
      </w:tr>
      <w:tr>
        <w:tblPrEx>
          <w:tblCellMar>
            <w:top w:w="0" w:type="dxa"/>
            <w:left w:w="108" w:type="dxa"/>
            <w:bottom w:w="0" w:type="dxa"/>
            <w:right w:w="108" w:type="dxa"/>
          </w:tblCellMar>
        </w:tblPrEx>
        <w:trPr>
          <w:trHeight w:val="651" w:hRule="atLeast"/>
          <w:jc w:val="center"/>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农村幸福院</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13</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45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53</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123</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131</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175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121</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24</w:t>
            </w:r>
            <w:r>
              <w:rPr>
                <w:rFonts w:ascii="仿宋" w:hAnsi="仿宋" w:eastAsia="仿宋" w:cs="宋体"/>
                <w:kern w:val="0"/>
                <w:sz w:val="20"/>
                <w:szCs w:val="20"/>
              </w:rPr>
              <w:t>3</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9</w:t>
            </w:r>
            <w:r>
              <w:rPr>
                <w:rFonts w:ascii="仿宋" w:hAnsi="仿宋" w:eastAsia="仿宋" w:cs="宋体"/>
                <w:kern w:val="0"/>
                <w:sz w:val="20"/>
                <w:szCs w:val="20"/>
              </w:rPr>
              <w:t>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10</w:t>
            </w:r>
            <w:r>
              <w:rPr>
                <w:rFonts w:ascii="仿宋" w:hAnsi="仿宋" w:eastAsia="仿宋" w:cs="宋体"/>
                <w:kern w:val="0"/>
                <w:sz w:val="20"/>
                <w:szCs w:val="20"/>
              </w:rPr>
              <w:t>14</w:t>
            </w:r>
          </w:p>
        </w:tc>
      </w:tr>
    </w:tbl>
    <w:p>
      <w:pPr>
        <w:spacing w:line="360" w:lineRule="auto"/>
        <w:ind w:firstLine="420" w:firstLineChars="200"/>
        <w:jc w:val="center"/>
        <w:rPr>
          <w:rFonts w:ascii="仿宋" w:hAnsi="仿宋" w:eastAsia="仿宋" w:cs="仿宋"/>
          <w:sz w:val="28"/>
          <w:szCs w:val="28"/>
        </w:rPr>
      </w:pPr>
      <w:r>
        <w:drawing>
          <wp:inline distT="0" distB="0" distL="0" distR="0">
            <wp:extent cx="5191760" cy="2743200"/>
            <wp:effectExtent l="0" t="0" r="8890" b="1333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360" w:lineRule="auto"/>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2    </w:t>
      </w:r>
      <w:r>
        <w:rPr>
          <w:rFonts w:hint="eastAsia" w:ascii="仿宋" w:hAnsi="仿宋" w:eastAsia="仿宋" w:cs="仿宋"/>
          <w:sz w:val="28"/>
          <w:szCs w:val="28"/>
        </w:rPr>
        <w:t>农村幸福院分布情况</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积极推进医养融合发展。支持和鼓励有条件的养老机构和医疗卫生机构跨行业横向发展、交叉融合发展，促进医疗机构、康复护理、养老机构、社区卫生服务中心之间有效互通转接。重点推进护理型养老机构建设，温县人民医院老年养护中心和修武县人民医院养护中心投入使用，为失能、半失能老年人提供护理服务。</w:t>
      </w:r>
    </w:p>
    <w:p>
      <w:pPr>
        <w:spacing w:line="360" w:lineRule="auto"/>
        <w:ind w:firstLine="560" w:firstLineChars="200"/>
        <w:jc w:val="center"/>
      </w:pPr>
      <w:r>
        <w:rPr>
          <w:rFonts w:hint="eastAsia" w:ascii="仿宋" w:hAnsi="仿宋" w:eastAsia="仿宋" w:cs="仿宋"/>
          <w:sz w:val="28"/>
          <w:szCs w:val="28"/>
        </w:rPr>
        <w:t>表</w:t>
      </w:r>
      <w:r>
        <w:rPr>
          <w:rFonts w:ascii="仿宋" w:hAnsi="仿宋" w:eastAsia="仿宋" w:cs="仿宋"/>
          <w:sz w:val="28"/>
          <w:szCs w:val="28"/>
        </w:rPr>
        <w:t xml:space="preserve">5  </w:t>
      </w:r>
      <w:r>
        <w:rPr>
          <w:rFonts w:hint="eastAsia" w:ascii="仿宋" w:hAnsi="仿宋" w:eastAsia="仿宋" w:cs="仿宋"/>
          <w:sz w:val="28"/>
          <w:szCs w:val="28"/>
        </w:rPr>
        <w:t>焦作市特困供养机构统计情况</w:t>
      </w:r>
    </w:p>
    <w:tbl>
      <w:tblPr>
        <w:tblStyle w:val="15"/>
        <w:tblW w:w="9776" w:type="dxa"/>
        <w:jc w:val="center"/>
        <w:tblLayout w:type="autofit"/>
        <w:tblCellMar>
          <w:top w:w="0" w:type="dxa"/>
          <w:left w:w="108" w:type="dxa"/>
          <w:bottom w:w="0" w:type="dxa"/>
          <w:right w:w="108" w:type="dxa"/>
        </w:tblCellMar>
      </w:tblPr>
      <w:tblGrid>
        <w:gridCol w:w="1000"/>
        <w:gridCol w:w="1000"/>
        <w:gridCol w:w="1000"/>
        <w:gridCol w:w="1000"/>
        <w:gridCol w:w="1000"/>
        <w:gridCol w:w="1000"/>
        <w:gridCol w:w="1000"/>
        <w:gridCol w:w="1000"/>
        <w:gridCol w:w="1000"/>
        <w:gridCol w:w="776"/>
      </w:tblGrid>
      <w:tr>
        <w:tblPrEx>
          <w:tblCellMar>
            <w:top w:w="0" w:type="dxa"/>
            <w:left w:w="108" w:type="dxa"/>
            <w:bottom w:w="0" w:type="dxa"/>
            <w:right w:w="108" w:type="dxa"/>
          </w:tblCellMar>
        </w:tblPrEx>
        <w:trPr>
          <w:trHeight w:val="675" w:hRule="atLeast"/>
          <w:jc w:val="center"/>
        </w:trPr>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县区</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马村区</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示范区</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沁阳市</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孟州市</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温县</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博爱县</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武陟县</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修武县</w:t>
            </w:r>
          </w:p>
        </w:tc>
        <w:tc>
          <w:tcPr>
            <w:tcW w:w="7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合计</w:t>
            </w:r>
          </w:p>
        </w:tc>
      </w:tr>
      <w:tr>
        <w:trPr>
          <w:trHeight w:val="528"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县级敬老院</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w:t>
            </w:r>
          </w:p>
        </w:tc>
      </w:tr>
      <w:tr>
        <w:tblPrEx>
          <w:tblCellMar>
            <w:top w:w="0" w:type="dxa"/>
            <w:left w:w="108" w:type="dxa"/>
            <w:bottom w:w="0" w:type="dxa"/>
            <w:right w:w="108" w:type="dxa"/>
          </w:tblCellMar>
        </w:tblPrEx>
        <w:trPr>
          <w:trHeight w:val="608"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乡镇级敬老院</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0</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39</w:t>
            </w:r>
          </w:p>
        </w:tc>
      </w:tr>
      <w:tr>
        <w:trPr>
          <w:trHeight w:val="546"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合计</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8</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46</w:t>
            </w:r>
          </w:p>
        </w:tc>
      </w:tr>
    </w:tbl>
    <w:p>
      <w:pPr>
        <w:spacing w:line="360" w:lineRule="auto"/>
        <w:jc w:val="center"/>
        <w:rPr>
          <w:rFonts w:ascii="仿宋" w:hAnsi="仿宋" w:eastAsia="仿宋" w:cs="仿宋"/>
          <w:sz w:val="28"/>
          <w:szCs w:val="28"/>
        </w:rPr>
      </w:pPr>
      <w:r>
        <w:drawing>
          <wp:inline distT="0" distB="0" distL="0" distR="0">
            <wp:extent cx="5581650" cy="3076575"/>
            <wp:effectExtent l="0" t="0" r="0" b="952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3  </w:t>
      </w:r>
      <w:r>
        <w:rPr>
          <w:rFonts w:hint="eastAsia" w:ascii="仿宋" w:hAnsi="仿宋" w:eastAsia="仿宋" w:cs="仿宋"/>
          <w:sz w:val="28"/>
          <w:szCs w:val="28"/>
        </w:rPr>
        <w:t>焦作市特困供养机构分布情况</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加快养老服务对外交流合作。加大养老服务对外开放力度，积极与德国蕾娜范养老集团、智慧华川养老（北京）有限公司、郑州大象信息技术有限公司等国内外知名养老企业交流合作，建成市福利院老年公寓楼焦作（蕾娜范老年公寓）并投入运营。我局被市政府表彰为2018年度对外开放工作先进单位。</w:t>
      </w:r>
    </w:p>
    <w:p>
      <w:pPr>
        <w:spacing w:line="360" w:lineRule="auto"/>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6  </w:t>
      </w:r>
      <w:r>
        <w:rPr>
          <w:rFonts w:hint="eastAsia" w:ascii="仿宋" w:hAnsi="仿宋" w:eastAsia="仿宋" w:cs="仿宋"/>
          <w:sz w:val="28"/>
          <w:szCs w:val="28"/>
        </w:rPr>
        <w:t>养老机构统计情况</w:t>
      </w:r>
    </w:p>
    <w:tbl>
      <w:tblPr>
        <w:tblStyle w:val="15"/>
        <w:tblW w:w="9800" w:type="dxa"/>
        <w:jc w:val="center"/>
        <w:tblLayout w:type="autofit"/>
        <w:tblCellMar>
          <w:top w:w="0" w:type="dxa"/>
          <w:left w:w="108" w:type="dxa"/>
          <w:bottom w:w="0" w:type="dxa"/>
          <w:right w:w="108" w:type="dxa"/>
        </w:tblCellMar>
      </w:tblPr>
      <w:tblGrid>
        <w:gridCol w:w="700"/>
        <w:gridCol w:w="700"/>
        <w:gridCol w:w="700"/>
        <w:gridCol w:w="700"/>
        <w:gridCol w:w="700"/>
        <w:gridCol w:w="700"/>
        <w:gridCol w:w="700"/>
        <w:gridCol w:w="700"/>
        <w:gridCol w:w="700"/>
        <w:gridCol w:w="700"/>
        <w:gridCol w:w="700"/>
        <w:gridCol w:w="700"/>
        <w:gridCol w:w="700"/>
        <w:gridCol w:w="700"/>
      </w:tblGrid>
      <w:tr>
        <w:tblPrEx>
          <w:tblCellMar>
            <w:top w:w="0" w:type="dxa"/>
            <w:left w:w="108" w:type="dxa"/>
            <w:bottom w:w="0" w:type="dxa"/>
            <w:right w:w="108" w:type="dxa"/>
          </w:tblCellMar>
        </w:tblPrEx>
        <w:trPr>
          <w:trHeight w:val="675"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rPr>
            </w:pPr>
            <w:r>
              <w:rPr>
                <w:rFonts w:hint="eastAsia"/>
                <w:color w:val="000000"/>
              </w:rPr>
              <w:t>县区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焦作市</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解放区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山阳区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中站区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马村区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示范区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沁阳市</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孟州市</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温县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博爱县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武陟县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修武县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合计</w:t>
            </w:r>
          </w:p>
        </w:tc>
      </w:tr>
      <w:tr>
        <w:trPr>
          <w:trHeight w:val="675" w:hRule="atLeast"/>
          <w:jc w:val="center"/>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rPr>
            </w:pPr>
            <w:r>
              <w:rPr>
                <w:rFonts w:hint="eastAsia"/>
                <w:color w:val="000000"/>
              </w:rPr>
              <w:t>养老机构</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19</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70</w:t>
            </w:r>
          </w:p>
        </w:tc>
      </w:tr>
    </w:tbl>
    <w:p>
      <w:pPr>
        <w:jc w:val="center"/>
      </w:pPr>
      <w:r>
        <w:drawing>
          <wp:inline distT="0" distB="0" distL="0" distR="0">
            <wp:extent cx="5848350" cy="2695575"/>
            <wp:effectExtent l="0" t="0" r="0"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360" w:lineRule="auto"/>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4  </w:t>
      </w:r>
      <w:r>
        <w:rPr>
          <w:rFonts w:hint="eastAsia" w:ascii="仿宋" w:hAnsi="仿宋" w:eastAsia="仿宋" w:cs="仿宋"/>
          <w:sz w:val="28"/>
          <w:szCs w:val="28"/>
        </w:rPr>
        <w:t>养老机构分布情况</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建立高龄老年人敬老补贴制度。自2012年起，我市就将高龄老人敬老补贴年龄由90周岁放宽至80周岁。其中，80-89周岁每人每月享受50元、90-99周岁每人每月享受200元，百岁及以上老人每人每月享受500元，补贴范围和标准居全省前列。“十三五”期间，全市累计发放80岁以上高龄老人敬老补贴3亿余元。</w:t>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7  </w:t>
      </w:r>
      <w:r>
        <w:rPr>
          <w:rFonts w:hint="eastAsia" w:ascii="仿宋" w:hAnsi="仿宋" w:eastAsia="仿宋" w:cs="仿宋"/>
          <w:sz w:val="28"/>
          <w:szCs w:val="28"/>
        </w:rPr>
        <w:t>焦作市80岁以上老年人统计</w:t>
      </w:r>
    </w:p>
    <w:tbl>
      <w:tblPr>
        <w:tblStyle w:val="15"/>
        <w:tblW w:w="9351" w:type="dxa"/>
        <w:tblInd w:w="0" w:type="dxa"/>
        <w:tblLayout w:type="fixed"/>
        <w:tblCellMar>
          <w:top w:w="0" w:type="dxa"/>
          <w:left w:w="108" w:type="dxa"/>
          <w:bottom w:w="0" w:type="dxa"/>
          <w:right w:w="108" w:type="dxa"/>
        </w:tblCellMar>
      </w:tblPr>
      <w:tblGrid>
        <w:gridCol w:w="2405"/>
        <w:gridCol w:w="1736"/>
        <w:gridCol w:w="1737"/>
        <w:gridCol w:w="1736"/>
        <w:gridCol w:w="1737"/>
      </w:tblGrid>
      <w:tr>
        <w:tblPrEx>
          <w:tblCellMar>
            <w:top w:w="0" w:type="dxa"/>
            <w:left w:w="108" w:type="dxa"/>
            <w:bottom w:w="0" w:type="dxa"/>
            <w:right w:w="108" w:type="dxa"/>
          </w:tblCellMar>
        </w:tblPrEx>
        <w:trPr>
          <w:trHeight w:val="551" w:hRule="atLeast"/>
        </w:trPr>
        <w:tc>
          <w:tcPr>
            <w:tcW w:w="2405"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县区         年龄</w:t>
            </w:r>
          </w:p>
        </w:tc>
        <w:tc>
          <w:tcPr>
            <w:tcW w:w="17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80岁以上</w:t>
            </w:r>
          </w:p>
        </w:tc>
        <w:tc>
          <w:tcPr>
            <w:tcW w:w="173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90岁以上</w:t>
            </w:r>
          </w:p>
        </w:tc>
        <w:tc>
          <w:tcPr>
            <w:tcW w:w="17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100岁以上</w:t>
            </w:r>
          </w:p>
        </w:tc>
        <w:tc>
          <w:tcPr>
            <w:tcW w:w="173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合计</w:t>
            </w:r>
          </w:p>
        </w:tc>
      </w:tr>
      <w:tr>
        <w:tblPrEx>
          <w:tblCellMar>
            <w:top w:w="0" w:type="dxa"/>
            <w:left w:w="108" w:type="dxa"/>
            <w:bottom w:w="0" w:type="dxa"/>
            <w:right w:w="108" w:type="dxa"/>
          </w:tblCellMar>
        </w:tblPrEx>
        <w:trPr>
          <w:trHeight w:val="243"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解放区</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7915</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838</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12</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8765</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山阳区</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5623</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538</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9</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6170</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中站区</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2752</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384</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2</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3138</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马村区</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2983</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358</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4</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3345</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示范区</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2743</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397</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6</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3146</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沁阳市</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7034</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914</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14</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7962</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孟州市</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6870</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960</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20</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7850</w:t>
            </w:r>
          </w:p>
        </w:tc>
      </w:tr>
      <w:tr>
        <w:tblPrEx>
          <w:tblCellMar>
            <w:top w:w="0" w:type="dxa"/>
            <w:left w:w="108" w:type="dxa"/>
            <w:bottom w:w="0" w:type="dxa"/>
            <w:right w:w="108" w:type="dxa"/>
          </w:tblCellMar>
        </w:tblPrEx>
        <w:trPr>
          <w:trHeight w:val="551" w:hRule="atLeast"/>
        </w:trPr>
        <w:tc>
          <w:tcPr>
            <w:tcW w:w="2405"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县区         年龄</w:t>
            </w:r>
          </w:p>
        </w:tc>
        <w:tc>
          <w:tcPr>
            <w:tcW w:w="17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80岁以上</w:t>
            </w:r>
          </w:p>
        </w:tc>
        <w:tc>
          <w:tcPr>
            <w:tcW w:w="173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90岁以上</w:t>
            </w:r>
          </w:p>
        </w:tc>
        <w:tc>
          <w:tcPr>
            <w:tcW w:w="17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100岁以上</w:t>
            </w:r>
          </w:p>
        </w:tc>
        <w:tc>
          <w:tcPr>
            <w:tcW w:w="173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合计</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温  县</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7909</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1327</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32</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9268</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博爱县</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5913</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778</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11</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6702</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武陟县</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11918</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1902</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37</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13857</w:t>
            </w:r>
          </w:p>
        </w:tc>
      </w:tr>
      <w:tr>
        <w:tblPrEx>
          <w:tblCellMar>
            <w:top w:w="0" w:type="dxa"/>
            <w:left w:w="108" w:type="dxa"/>
            <w:bottom w:w="0" w:type="dxa"/>
            <w:right w:w="108" w:type="dxa"/>
          </w:tblCellMar>
        </w:tblPrEx>
        <w:trPr>
          <w:trHeight w:val="108"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修武县</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4650</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690</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12</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5352</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小  计</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66310</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9086</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159</w:t>
            </w:r>
          </w:p>
        </w:tc>
        <w:tc>
          <w:tcPr>
            <w:tcW w:w="173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75555</w:t>
            </w:r>
          </w:p>
        </w:tc>
      </w:tr>
      <w:tr>
        <w:tblPrEx>
          <w:tblCellMar>
            <w:top w:w="0" w:type="dxa"/>
            <w:left w:w="108" w:type="dxa"/>
            <w:bottom w:w="0" w:type="dxa"/>
            <w:right w:w="108" w:type="dxa"/>
          </w:tblCellMar>
        </w:tblPrEx>
        <w:trPr>
          <w:trHeight w:val="7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合  计</w:t>
            </w:r>
          </w:p>
        </w:tc>
        <w:tc>
          <w:tcPr>
            <w:tcW w:w="6946"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olor w:val="000000"/>
                <w:sz w:val="20"/>
                <w:szCs w:val="20"/>
              </w:rPr>
            </w:pPr>
            <w:r>
              <w:rPr>
                <w:rFonts w:hint="eastAsia" w:ascii="仿宋" w:hAnsi="仿宋" w:eastAsia="仿宋"/>
                <w:color w:val="000000"/>
                <w:sz w:val="20"/>
                <w:szCs w:val="20"/>
              </w:rPr>
              <w:t>75555</w:t>
            </w:r>
          </w:p>
        </w:tc>
      </w:tr>
    </w:tbl>
    <w:p>
      <w:pPr>
        <w:jc w:val="center"/>
      </w:pPr>
      <w:r>
        <w:drawing>
          <wp:inline distT="0" distB="0" distL="0" distR="0">
            <wp:extent cx="5591175" cy="3638550"/>
            <wp:effectExtent l="0" t="0" r="9525"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5  </w:t>
      </w:r>
      <w:r>
        <w:rPr>
          <w:rFonts w:hint="eastAsia" w:ascii="仿宋" w:hAnsi="仿宋" w:eastAsia="仿宋" w:cs="仿宋"/>
          <w:sz w:val="28"/>
          <w:szCs w:val="28"/>
        </w:rPr>
        <w:t>焦作市80岁以上老年人统计情况</w:t>
      </w:r>
    </w:p>
    <w:p>
      <w:pPr>
        <w:pStyle w:val="3"/>
      </w:pPr>
      <w:bookmarkStart w:id="15" w:name="_Toc80116036"/>
      <w:r>
        <w:rPr>
          <w:rFonts w:hint="eastAsia"/>
        </w:rPr>
        <w:t xml:space="preserve">第三节 </w:t>
      </w:r>
      <w:r>
        <w:t xml:space="preserve"> </w:t>
      </w:r>
      <w:r>
        <w:rPr>
          <w:rFonts w:hint="eastAsia"/>
        </w:rPr>
        <w:t>儿童福利服务体系基本健全</w:t>
      </w:r>
      <w:bookmarkEnd w:id="15"/>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进一步完善市、县、乡、村四级儿童福利服务体系建设。在市级建立区域性儿童福利机构，市县两级设立未成年人救助保护机构，乡镇选优配强儿童督导员，指导儿童主任规范开展工作，全市儿童督导员和儿童主任设置率达100%。各县（市）区加快儿童之家建设进度，全市已完成</w:t>
      </w:r>
      <w:r>
        <w:rPr>
          <w:rFonts w:ascii="仿宋" w:hAnsi="仿宋" w:eastAsia="仿宋" w:cs="仿宋"/>
          <w:sz w:val="28"/>
          <w:szCs w:val="28"/>
        </w:rPr>
        <w:t>535</w:t>
      </w:r>
      <w:r>
        <w:rPr>
          <w:rFonts w:hint="eastAsia" w:ascii="仿宋" w:hAnsi="仿宋" w:eastAsia="仿宋" w:cs="仿宋"/>
          <w:sz w:val="28"/>
          <w:szCs w:val="28"/>
        </w:rPr>
        <w:t>家，位居全省前列。强化农村留守儿童和困境儿童家庭监护主体责任，建立了强制报告机制，制定了应急预案，农村留守儿童关爱保护和困境儿童保障得到进一步加强。严格按照《收养登记工作规范》等相关政策法规依法登记，确保每一个登记都有据可依，有实可查，登记合格率和居民满意率均达到100%。落实孤儿及事实无人抚养儿童保障政策工作。全市共有孤儿</w:t>
      </w:r>
      <w:r>
        <w:rPr>
          <w:rFonts w:ascii="仿宋" w:hAnsi="仿宋" w:eastAsia="仿宋" w:cs="仿宋"/>
          <w:sz w:val="28"/>
          <w:szCs w:val="28"/>
        </w:rPr>
        <w:t>434</w:t>
      </w:r>
      <w:r>
        <w:rPr>
          <w:rFonts w:hint="eastAsia" w:ascii="仿宋" w:hAnsi="仿宋" w:eastAsia="仿宋" w:cs="仿宋"/>
          <w:sz w:val="28"/>
          <w:szCs w:val="28"/>
        </w:rPr>
        <w:t>人，其中机构集中养育孤儿</w:t>
      </w:r>
      <w:r>
        <w:rPr>
          <w:rFonts w:ascii="仿宋" w:hAnsi="仿宋" w:eastAsia="仿宋" w:cs="仿宋"/>
          <w:sz w:val="28"/>
          <w:szCs w:val="28"/>
        </w:rPr>
        <w:t>179</w:t>
      </w:r>
      <w:r>
        <w:rPr>
          <w:rFonts w:hint="eastAsia" w:ascii="仿宋" w:hAnsi="仿宋" w:eastAsia="仿宋" w:cs="仿宋"/>
          <w:sz w:val="28"/>
          <w:szCs w:val="28"/>
        </w:rPr>
        <w:t>人，社会散居孤儿</w:t>
      </w:r>
      <w:r>
        <w:rPr>
          <w:rFonts w:ascii="仿宋" w:hAnsi="仿宋" w:eastAsia="仿宋" w:cs="仿宋"/>
          <w:sz w:val="28"/>
          <w:szCs w:val="28"/>
        </w:rPr>
        <w:t>255</w:t>
      </w:r>
      <w:r>
        <w:rPr>
          <w:rFonts w:hint="eastAsia" w:ascii="仿宋" w:hAnsi="仿宋" w:eastAsia="仿宋" w:cs="仿宋"/>
          <w:sz w:val="28"/>
          <w:szCs w:val="28"/>
        </w:rPr>
        <w:t>人；事实无人抚养儿童</w:t>
      </w:r>
      <w:r>
        <w:rPr>
          <w:rFonts w:ascii="仿宋" w:hAnsi="仿宋" w:eastAsia="仿宋" w:cs="仿宋"/>
          <w:sz w:val="28"/>
          <w:szCs w:val="28"/>
        </w:rPr>
        <w:t>428</w:t>
      </w:r>
      <w:r>
        <w:rPr>
          <w:rFonts w:hint="eastAsia" w:ascii="仿宋" w:hAnsi="仿宋" w:eastAsia="仿宋" w:cs="仿宋"/>
          <w:sz w:val="28"/>
          <w:szCs w:val="28"/>
        </w:rPr>
        <w:t>人。及时足额下发每名孤儿及事实无人抚养儿童生活保障资金，确保了孤儿及事实无人抚养儿童基本生活养育标准得到落实。</w:t>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8  </w:t>
      </w:r>
      <w:r>
        <w:rPr>
          <w:rFonts w:hint="eastAsia" w:ascii="仿宋" w:hAnsi="仿宋" w:eastAsia="仿宋" w:cs="仿宋"/>
          <w:sz w:val="28"/>
          <w:szCs w:val="28"/>
        </w:rPr>
        <w:t>焦作市儿童之家统计情况</w:t>
      </w:r>
    </w:p>
    <w:tbl>
      <w:tblPr>
        <w:tblStyle w:val="15"/>
        <w:tblW w:w="9520" w:type="dxa"/>
        <w:jc w:val="center"/>
        <w:tblLayout w:type="autofit"/>
        <w:tblCellMar>
          <w:top w:w="0" w:type="dxa"/>
          <w:left w:w="108" w:type="dxa"/>
          <w:bottom w:w="0" w:type="dxa"/>
          <w:right w:w="108" w:type="dxa"/>
        </w:tblCellMar>
      </w:tblPr>
      <w:tblGrid>
        <w:gridCol w:w="1120"/>
        <w:gridCol w:w="700"/>
        <w:gridCol w:w="700"/>
        <w:gridCol w:w="700"/>
        <w:gridCol w:w="700"/>
        <w:gridCol w:w="700"/>
        <w:gridCol w:w="700"/>
        <w:gridCol w:w="700"/>
        <w:gridCol w:w="700"/>
        <w:gridCol w:w="700"/>
        <w:gridCol w:w="700"/>
        <w:gridCol w:w="700"/>
        <w:gridCol w:w="700"/>
      </w:tblGrid>
      <w:tr>
        <w:tblPrEx>
          <w:tblCellMar>
            <w:top w:w="0" w:type="dxa"/>
            <w:left w:w="108" w:type="dxa"/>
            <w:bottom w:w="0" w:type="dxa"/>
            <w:right w:w="108" w:type="dxa"/>
          </w:tblCellMar>
        </w:tblPrEx>
        <w:trPr>
          <w:trHeight w:val="600" w:hRule="atLeast"/>
          <w:jc w:val="center"/>
        </w:trPr>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地区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解放区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山阳区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中站区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马村区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示范区</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沁阳市</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孟州市</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温  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博爱县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武陟县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修武县</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合计</w:t>
            </w:r>
          </w:p>
        </w:tc>
      </w:tr>
      <w:tr>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已建</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31</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21</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24</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42</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50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99</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176</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26</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535</w:t>
            </w:r>
          </w:p>
        </w:tc>
      </w:tr>
      <w:tr>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在建</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78</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17</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99</w:t>
            </w:r>
          </w:p>
        </w:tc>
      </w:tr>
      <w:tr>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规划</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9</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200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91</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460</w:t>
            </w:r>
          </w:p>
        </w:tc>
      </w:tr>
      <w:tr>
        <w:tblPrEx>
          <w:tblCellMar>
            <w:top w:w="0" w:type="dxa"/>
            <w:left w:w="108" w:type="dxa"/>
            <w:bottom w:w="0" w:type="dxa"/>
            <w:right w:w="108" w:type="dxa"/>
          </w:tblCellMar>
        </w:tblPrEx>
        <w:trPr>
          <w:trHeight w:val="510" w:hRule="atLeast"/>
          <w:jc w:val="center"/>
        </w:trPr>
        <w:tc>
          <w:tcPr>
            <w:tcW w:w="11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合计</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34</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24</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16</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22</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242</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118</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100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190</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83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1094</w:t>
            </w:r>
          </w:p>
        </w:tc>
      </w:tr>
    </w:tbl>
    <w:p>
      <w:pPr>
        <w:spacing w:line="360" w:lineRule="auto"/>
        <w:ind w:firstLine="420" w:firstLineChars="200"/>
        <w:jc w:val="left"/>
        <w:rPr>
          <w:rFonts w:ascii="仿宋" w:hAnsi="仿宋" w:eastAsia="仿宋" w:cs="仿宋"/>
          <w:sz w:val="28"/>
          <w:szCs w:val="28"/>
        </w:rPr>
      </w:pPr>
      <w:r>
        <w:drawing>
          <wp:inline distT="0" distB="0" distL="0" distR="0">
            <wp:extent cx="5324475" cy="2743200"/>
            <wp:effectExtent l="0" t="0" r="9525"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6  </w:t>
      </w:r>
      <w:r>
        <w:rPr>
          <w:rFonts w:hint="eastAsia" w:ascii="仿宋" w:hAnsi="仿宋" w:eastAsia="仿宋" w:cs="仿宋"/>
          <w:sz w:val="28"/>
          <w:szCs w:val="28"/>
        </w:rPr>
        <w:t>焦作市儿童之家分布情况</w:t>
      </w:r>
    </w:p>
    <w:p>
      <w:pPr>
        <w:pStyle w:val="3"/>
      </w:pPr>
      <w:bookmarkStart w:id="16" w:name="_Toc80116037"/>
      <w:r>
        <w:rPr>
          <w:rFonts w:hint="eastAsia"/>
        </w:rPr>
        <w:t xml:space="preserve">第四节 </w:t>
      </w:r>
      <w:r>
        <w:t xml:space="preserve"> </w:t>
      </w:r>
      <w:r>
        <w:rPr>
          <w:rFonts w:hint="eastAsia"/>
          <w:shd w:val="clear" w:color="auto" w:fill="FFFFFF"/>
        </w:rPr>
        <w:t>社会福利和慈善事业稳步发展</w:t>
      </w:r>
      <w:bookmarkEnd w:id="16"/>
    </w:p>
    <w:p>
      <w:pPr>
        <w:spacing w:line="360" w:lineRule="auto"/>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推进县级社会福利中心建设，按照“一县（市）一中心”的基本布</w:t>
      </w:r>
      <w:r>
        <w:rPr>
          <w:rFonts w:hint="eastAsia" w:ascii="仿宋" w:hAnsi="仿宋" w:eastAsia="仿宋" w:cs="仿宋"/>
          <w:sz w:val="28"/>
          <w:szCs w:val="28"/>
          <w:shd w:val="clear" w:color="auto" w:fill="FFFFFF"/>
        </w:rPr>
        <w:t>局，建成县级社会福利中心三个，</w:t>
      </w:r>
      <w:r>
        <w:rPr>
          <w:rFonts w:hint="eastAsia" w:ascii="仿宋" w:hAnsi="仿宋" w:eastAsia="仿宋" w:cs="仿宋"/>
          <w:sz w:val="28"/>
          <w:szCs w:val="28"/>
        </w:rPr>
        <w:t>为孤儿、孤老、“三无”精神病人、生活无着流浪乞讨人员、优抚安置对象等特殊困难群体提供救助保护场所，为保障民生、服务民生提供坚实的基础支撑。</w:t>
      </w:r>
      <w:r>
        <w:rPr>
          <w:rFonts w:hint="eastAsia" w:ascii="仿宋" w:hAnsi="仿宋" w:eastAsia="仿宋" w:cs="仿宋"/>
          <w:color w:val="000000"/>
          <w:sz w:val="28"/>
          <w:szCs w:val="28"/>
          <w:shd w:val="clear" w:color="auto" w:fill="FFFFFF"/>
        </w:rPr>
        <w:t>全面建立残疾人“两项补贴”，2016年11月，出台了《焦作市人民政府关于印发焦作市困难残疾人生活补贴和重度残疾人护理补贴实施办法的通知》（焦政﹝2016﹞25号），发放困难残疾人生活补贴和重度残疾人护理补贴，残疾人两项补贴标准不低于60元/人/月，“十三五”期间累计发放285万余人次，发放残疾人两项补贴资金1.94亿余元，惠及困难和重度残疾人7.67万余人。促进慈善事业健康发展，大力宣传《慈善法》，开展“中华慈善日”集中宣传活动，切实发挥慈善事业在全面建成小康社会与建设美好生活中的积极作用。</w:t>
      </w:r>
    </w:p>
    <w:p>
      <w:pPr>
        <w:spacing w:line="360" w:lineRule="auto"/>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推进社会捐助服务体系建设，完善以慈善超市和捐助站（点）为基础的经常性捐助服务网络体系，建设慈</w:t>
      </w:r>
      <w:r>
        <w:rPr>
          <w:rFonts w:hint="eastAsia" w:ascii="仿宋" w:hAnsi="仿宋" w:eastAsia="仿宋" w:cs="仿宋"/>
          <w:sz w:val="28"/>
          <w:szCs w:val="28"/>
          <w:shd w:val="clear" w:color="auto" w:fill="FFFFFF"/>
        </w:rPr>
        <w:t>善超市69家、爱心</w:t>
      </w:r>
      <w:r>
        <w:rPr>
          <w:rFonts w:hint="eastAsia" w:ascii="仿宋" w:hAnsi="仿宋" w:eastAsia="仿宋" w:cs="仿宋"/>
          <w:color w:val="000000"/>
          <w:sz w:val="28"/>
          <w:szCs w:val="28"/>
          <w:shd w:val="clear" w:color="auto" w:fill="FFFFFF"/>
        </w:rPr>
        <w:t>驿站71家。</w:t>
      </w:r>
    </w:p>
    <w:p>
      <w:pPr>
        <w:spacing w:line="360" w:lineRule="auto"/>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9  </w:t>
      </w:r>
      <w:r>
        <w:rPr>
          <w:rFonts w:hint="eastAsia" w:ascii="仿宋" w:hAnsi="仿宋" w:eastAsia="仿宋" w:cs="仿宋"/>
          <w:sz w:val="28"/>
          <w:szCs w:val="28"/>
        </w:rPr>
        <w:t>焦作市慈善超市统计情况</w:t>
      </w:r>
    </w:p>
    <w:tbl>
      <w:tblPr>
        <w:tblStyle w:val="15"/>
        <w:tblW w:w="8580" w:type="dxa"/>
        <w:jc w:val="center"/>
        <w:tblLayout w:type="autofit"/>
        <w:tblCellMar>
          <w:top w:w="0" w:type="dxa"/>
          <w:left w:w="108" w:type="dxa"/>
          <w:bottom w:w="0" w:type="dxa"/>
          <w:right w:w="108" w:type="dxa"/>
        </w:tblCellMar>
      </w:tblPr>
      <w:tblGrid>
        <w:gridCol w:w="660"/>
        <w:gridCol w:w="660"/>
        <w:gridCol w:w="660"/>
        <w:gridCol w:w="660"/>
        <w:gridCol w:w="660"/>
        <w:gridCol w:w="660"/>
        <w:gridCol w:w="660"/>
        <w:gridCol w:w="660"/>
        <w:gridCol w:w="660"/>
        <w:gridCol w:w="660"/>
        <w:gridCol w:w="660"/>
        <w:gridCol w:w="660"/>
        <w:gridCol w:w="660"/>
      </w:tblGrid>
      <w:tr>
        <w:tblPrEx>
          <w:tblCellMar>
            <w:top w:w="0" w:type="dxa"/>
            <w:left w:w="108" w:type="dxa"/>
            <w:bottom w:w="0" w:type="dxa"/>
            <w:right w:w="108" w:type="dxa"/>
          </w:tblCellMar>
        </w:tblPrEx>
        <w:trPr>
          <w:trHeight w:val="87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sz w:val="20"/>
                <w:szCs w:val="20"/>
              </w:rPr>
              <w:t>地区</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解放区</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山阳区</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中站区</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马村区</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示范区</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沁阳市</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孟州市</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温县</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博爱县</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武陟县</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修武县</w:t>
            </w:r>
          </w:p>
        </w:tc>
        <w:tc>
          <w:tcPr>
            <w:tcW w:w="66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合计</w:t>
            </w:r>
          </w:p>
        </w:tc>
      </w:tr>
      <w:tr>
        <w:tblPrEx>
          <w:tblCellMar>
            <w:top w:w="0" w:type="dxa"/>
            <w:left w:w="108" w:type="dxa"/>
            <w:bottom w:w="0" w:type="dxa"/>
            <w:right w:w="108" w:type="dxa"/>
          </w:tblCellMar>
        </w:tblPrEx>
        <w:trPr>
          <w:trHeight w:val="720" w:hRule="atLeast"/>
          <w:jc w:val="center"/>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sz w:val="20"/>
                <w:szCs w:val="20"/>
              </w:rPr>
              <w:t>数量</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5</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3</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ascii="仿宋" w:hAnsi="仿宋" w:eastAsia="仿宋"/>
                <w:color w:val="000000"/>
                <w:sz w:val="20"/>
                <w:szCs w:val="20"/>
              </w:rPr>
              <w:t>5</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5</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1</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0</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12</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20</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ascii="仿宋" w:hAnsi="仿宋" w:eastAsia="仿宋"/>
                <w:color w:val="000000"/>
                <w:sz w:val="20"/>
                <w:szCs w:val="20"/>
              </w:rPr>
              <w:t>2</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15</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1</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color w:val="000000"/>
                <w:sz w:val="20"/>
                <w:szCs w:val="20"/>
              </w:rPr>
            </w:pPr>
            <w:r>
              <w:rPr>
                <w:rFonts w:hint="eastAsia" w:ascii="仿宋" w:hAnsi="仿宋" w:eastAsia="仿宋"/>
                <w:color w:val="000000"/>
                <w:sz w:val="20"/>
                <w:szCs w:val="20"/>
              </w:rPr>
              <w:t>69</w:t>
            </w:r>
          </w:p>
        </w:tc>
      </w:tr>
    </w:tbl>
    <w:p>
      <w:pPr>
        <w:spacing w:line="360" w:lineRule="auto"/>
        <w:ind w:firstLine="420" w:firstLineChars="200"/>
        <w:jc w:val="center"/>
        <w:rPr>
          <w:rFonts w:ascii="仿宋" w:hAnsi="仿宋" w:eastAsia="仿宋" w:cs="仿宋"/>
          <w:color w:val="000000"/>
          <w:sz w:val="28"/>
          <w:szCs w:val="28"/>
          <w:shd w:val="clear" w:color="auto" w:fill="FFFFFF"/>
        </w:rPr>
      </w:pPr>
      <w:r>
        <w:drawing>
          <wp:inline distT="0" distB="0" distL="0" distR="0">
            <wp:extent cx="4953000" cy="27432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360" w:lineRule="auto"/>
        <w:jc w:val="center"/>
        <w:rPr>
          <w:rFonts w:ascii="仿宋" w:hAnsi="仿宋" w:eastAsia="仿宋" w:cs="仿宋"/>
          <w:sz w:val="28"/>
          <w:szCs w:val="28"/>
        </w:rPr>
      </w:pPr>
      <w:r>
        <w:rPr>
          <w:rFonts w:hint="eastAsia" w:ascii="仿宋" w:hAnsi="仿宋" w:eastAsia="仿宋" w:cs="仿宋"/>
          <w:sz w:val="28"/>
          <w:szCs w:val="28"/>
        </w:rPr>
        <w:t>图7</w:t>
      </w:r>
      <w:r>
        <w:rPr>
          <w:rFonts w:ascii="仿宋" w:hAnsi="仿宋" w:eastAsia="仿宋" w:cs="仿宋"/>
          <w:sz w:val="28"/>
          <w:szCs w:val="28"/>
        </w:rPr>
        <w:t xml:space="preserve">  </w:t>
      </w:r>
      <w:r>
        <w:rPr>
          <w:rFonts w:hint="eastAsia" w:ascii="仿宋" w:hAnsi="仿宋" w:eastAsia="仿宋" w:cs="仿宋"/>
          <w:sz w:val="28"/>
          <w:szCs w:val="28"/>
        </w:rPr>
        <w:t>焦作市慈善超市分布情况</w:t>
      </w:r>
    </w:p>
    <w:p>
      <w:pPr>
        <w:spacing w:line="360" w:lineRule="auto"/>
        <w:ind w:firstLine="560" w:firstLineChars="200"/>
        <w:rPr>
          <w:rFonts w:ascii="仿宋" w:hAnsi="仿宋" w:eastAsia="仿宋" w:cs="仿宋"/>
          <w:sz w:val="28"/>
          <w:szCs w:val="28"/>
          <w:shd w:val="clear" w:color="auto" w:fill="FFFFFF"/>
        </w:rPr>
      </w:pPr>
      <w:r>
        <w:rPr>
          <w:rFonts w:hint="eastAsia" w:ascii="仿宋" w:hAnsi="仿宋" w:eastAsia="仿宋" w:cs="仿宋"/>
          <w:color w:val="000000"/>
          <w:sz w:val="28"/>
          <w:szCs w:val="28"/>
          <w:shd w:val="clear" w:color="auto" w:fill="FFFFFF"/>
        </w:rPr>
        <w:t>发挥慈善会系统在全市慈善工作中的引领示范作用，加大慈善募捐和救助力度，全市各级慈善组织募集善款</w:t>
      </w:r>
      <w:r>
        <w:rPr>
          <w:rFonts w:ascii="仿宋" w:hAnsi="仿宋" w:eastAsia="仿宋" w:cs="仿宋"/>
          <w:color w:val="000000"/>
          <w:sz w:val="28"/>
          <w:szCs w:val="28"/>
          <w:shd w:val="clear" w:color="auto" w:fill="FFFFFF"/>
        </w:rPr>
        <w:t>1.84</w:t>
      </w:r>
      <w:r>
        <w:rPr>
          <w:rFonts w:hint="eastAsia" w:ascii="仿宋" w:hAnsi="仿宋" w:eastAsia="仿宋" w:cs="仿宋"/>
          <w:color w:val="000000"/>
          <w:sz w:val="28"/>
          <w:szCs w:val="28"/>
          <w:shd w:val="clear" w:color="auto" w:fill="FFFFFF"/>
        </w:rPr>
        <w:t>亿余元，组织实施了助医助学助困等一大批慈善救助项目，惠及困难群众9万余人。实施贫困家庭残疾人免费安装假肢和福利机构配置康复辅具公益项目，为贫困家庭肢体残障患者免费安装假肢145人，为福利机构配置轮椅、沐浴椅、多功能护理床等康复辅具362套</w:t>
      </w:r>
      <w:r>
        <w:rPr>
          <w:rFonts w:hint="eastAsia" w:ascii="仿宋" w:hAnsi="仿宋" w:eastAsia="仿宋" w:cs="仿宋"/>
          <w:sz w:val="28"/>
          <w:szCs w:val="28"/>
          <w:shd w:val="clear" w:color="auto" w:fill="FFFFFF"/>
        </w:rPr>
        <w:t>。推动精神障碍社区康复服务发展，选取工作基础好的沁阳市和武陟县开展试点工作，建设精神障碍社区康复场所5个。</w:t>
      </w:r>
    </w:p>
    <w:p>
      <w:pPr>
        <w:spacing w:line="360" w:lineRule="auto"/>
        <w:ind w:firstLine="560" w:firstLineChars="200"/>
        <w:rPr>
          <w:rFonts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积极开展福利彩票发行销售工作。“十三五”期间，全市加大促销投入度激励营销，灵活开展培训提升技能，增加网点巡查频次提供服务，及时分析与研究，规范运作。基本完成了福彩各项工作任务，预计销售福利彩票11.9亿余元，筹集福彩公益金3.5亿余元。</w:t>
      </w:r>
    </w:p>
    <w:p>
      <w:pPr>
        <w:spacing w:line="360" w:lineRule="auto"/>
        <w:ind w:firstLine="560" w:firstLineChars="200"/>
        <w:rPr>
          <w:rFonts w:ascii="仿宋" w:hAnsi="仿宋" w:eastAsia="仿宋" w:cs="仿宋"/>
          <w:color w:val="000000"/>
          <w:sz w:val="28"/>
          <w:szCs w:val="28"/>
          <w:shd w:val="clear" w:color="auto" w:fill="FFFFFF"/>
        </w:rPr>
      </w:pPr>
    </w:p>
    <w:p>
      <w:pPr>
        <w:spacing w:line="360" w:lineRule="auto"/>
        <w:ind w:firstLine="560" w:firstLineChars="200"/>
        <w:rPr>
          <w:rFonts w:ascii="仿宋" w:hAnsi="仿宋" w:eastAsia="仿宋" w:cs="仿宋"/>
          <w:color w:val="000000"/>
          <w:sz w:val="28"/>
          <w:szCs w:val="28"/>
          <w:shd w:val="clear" w:color="auto" w:fill="FFFFFF"/>
        </w:rPr>
      </w:pPr>
    </w:p>
    <w:p>
      <w:pPr>
        <w:spacing w:line="360" w:lineRule="auto"/>
        <w:ind w:firstLine="560" w:firstLineChars="200"/>
        <w:rPr>
          <w:rFonts w:ascii="仿宋" w:hAnsi="仿宋" w:eastAsia="仿宋" w:cs="仿宋"/>
          <w:color w:val="000000"/>
          <w:sz w:val="28"/>
          <w:szCs w:val="28"/>
          <w:shd w:val="clear" w:color="auto" w:fill="FFFFFF"/>
        </w:rPr>
      </w:pPr>
    </w:p>
    <w:p>
      <w:pPr>
        <w:spacing w:line="360" w:lineRule="auto"/>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10  </w:t>
      </w:r>
      <w:r>
        <w:rPr>
          <w:rFonts w:hint="eastAsia" w:ascii="仿宋" w:hAnsi="仿宋" w:eastAsia="仿宋" w:cs="仿宋"/>
          <w:sz w:val="28"/>
          <w:szCs w:val="28"/>
        </w:rPr>
        <w:t>焦作市福利彩票统计情况</w:t>
      </w:r>
    </w:p>
    <w:tbl>
      <w:tblPr>
        <w:tblStyle w:val="15"/>
        <w:tblW w:w="9923" w:type="dxa"/>
        <w:tblInd w:w="-147" w:type="dxa"/>
        <w:tblLayout w:type="autofit"/>
        <w:tblCellMar>
          <w:top w:w="0" w:type="dxa"/>
          <w:left w:w="108" w:type="dxa"/>
          <w:bottom w:w="0" w:type="dxa"/>
          <w:right w:w="108" w:type="dxa"/>
        </w:tblCellMar>
      </w:tblPr>
      <w:tblGrid>
        <w:gridCol w:w="1416"/>
        <w:gridCol w:w="708"/>
        <w:gridCol w:w="709"/>
        <w:gridCol w:w="708"/>
        <w:gridCol w:w="709"/>
        <w:gridCol w:w="709"/>
        <w:gridCol w:w="709"/>
        <w:gridCol w:w="708"/>
        <w:gridCol w:w="709"/>
        <w:gridCol w:w="709"/>
        <w:gridCol w:w="709"/>
        <w:gridCol w:w="708"/>
        <w:gridCol w:w="712"/>
      </w:tblGrid>
      <w:tr>
        <w:trPr>
          <w:trHeight w:val="780" w:hRule="atLeast"/>
          <w:tblHeader/>
        </w:trPr>
        <w:tc>
          <w:tcPr>
            <w:tcW w:w="1416"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widowControl/>
              <w:rPr>
                <w:rFonts w:ascii="仿宋" w:hAnsi="仿宋" w:eastAsia="仿宋" w:cs="宋体"/>
                <w:color w:val="000000"/>
                <w:kern w:val="0"/>
                <w:sz w:val="20"/>
                <w:szCs w:val="20"/>
              </w:rPr>
            </w:pPr>
            <w:r>
              <w:rPr>
                <w:rFonts w:hint="eastAsia" w:ascii="仿宋" w:hAnsi="仿宋" w:eastAsia="仿宋" w:cs="宋体"/>
                <w:color w:val="000000"/>
                <w:kern w:val="0"/>
                <w:sz w:val="20"/>
                <w:szCs w:val="20"/>
              </w:rPr>
              <w:t xml:space="preserve">地区 </w:t>
            </w:r>
            <w:r>
              <w:rPr>
                <w:rFonts w:ascii="仿宋" w:hAnsi="仿宋" w:eastAsia="仿宋" w:cs="宋体"/>
                <w:color w:val="000000"/>
                <w:kern w:val="0"/>
                <w:sz w:val="20"/>
                <w:szCs w:val="20"/>
              </w:rPr>
              <w:t xml:space="preserve">   </w:t>
            </w:r>
            <w:r>
              <w:rPr>
                <w:rFonts w:hint="eastAsia" w:ascii="仿宋" w:hAnsi="仿宋" w:eastAsia="仿宋" w:cs="宋体"/>
                <w:color w:val="000000"/>
                <w:kern w:val="0"/>
                <w:sz w:val="20"/>
                <w:szCs w:val="20"/>
              </w:rPr>
              <w:t>类型</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解放区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山阳区</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中站区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马村区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示范区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沁阳市</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孟州市</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温县</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博爱县</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武陟县</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修武县</w:t>
            </w:r>
          </w:p>
        </w:tc>
        <w:tc>
          <w:tcPr>
            <w:tcW w:w="7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合计</w:t>
            </w:r>
          </w:p>
        </w:tc>
      </w:tr>
      <w:tr>
        <w:tblPrEx>
          <w:tblCellMar>
            <w:top w:w="0" w:type="dxa"/>
            <w:left w:w="108" w:type="dxa"/>
            <w:bottom w:w="0" w:type="dxa"/>
            <w:right w:w="108" w:type="dxa"/>
          </w:tblCellMar>
        </w:tblPrEx>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普通专营</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19</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23</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39</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16</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215</w:t>
            </w:r>
          </w:p>
        </w:tc>
      </w:tr>
      <w:tr>
        <w:tblPrEx>
          <w:tblCellMar>
            <w:top w:w="0" w:type="dxa"/>
            <w:left w:w="108" w:type="dxa"/>
            <w:bottom w:w="0" w:type="dxa"/>
            <w:right w:w="108" w:type="dxa"/>
          </w:tblCellMar>
        </w:tblPrEx>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三星级专营</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16</w:t>
            </w:r>
          </w:p>
        </w:tc>
      </w:tr>
      <w:tr>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四星级专营</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4</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5</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14</w:t>
            </w:r>
          </w:p>
        </w:tc>
      </w:tr>
      <w:tr>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五星级专营</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8</w:t>
            </w:r>
          </w:p>
        </w:tc>
      </w:tr>
      <w:tr>
        <w:tblPrEx>
          <w:tblCellMar>
            <w:top w:w="0" w:type="dxa"/>
            <w:left w:w="108" w:type="dxa"/>
            <w:bottom w:w="0" w:type="dxa"/>
            <w:right w:w="108" w:type="dxa"/>
          </w:tblCellMar>
        </w:tblPrEx>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兼营</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6</w:t>
            </w:r>
          </w:p>
        </w:tc>
      </w:tr>
      <w:tr>
        <w:tblPrEx>
          <w:tblCellMar>
            <w:top w:w="0" w:type="dxa"/>
            <w:left w:w="108" w:type="dxa"/>
            <w:bottom w:w="0" w:type="dxa"/>
            <w:right w:w="108" w:type="dxa"/>
          </w:tblCellMar>
        </w:tblPrEx>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合作自助</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7</w:t>
            </w:r>
          </w:p>
        </w:tc>
      </w:tr>
      <w:tr>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双机店</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r>
      <w:tr>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其他</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15</w:t>
            </w:r>
          </w:p>
        </w:tc>
      </w:tr>
      <w:tr>
        <w:tblPrEx>
          <w:tblCellMar>
            <w:top w:w="0" w:type="dxa"/>
            <w:left w:w="108" w:type="dxa"/>
            <w:bottom w:w="0" w:type="dxa"/>
            <w:right w:w="108" w:type="dxa"/>
          </w:tblCellMar>
        </w:tblPrEx>
        <w:trPr>
          <w:trHeight w:val="493" w:hRule="atLeast"/>
        </w:trPr>
        <w:tc>
          <w:tcPr>
            <w:tcW w:w="1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合计</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38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33</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36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32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41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17</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282</w:t>
            </w:r>
          </w:p>
        </w:tc>
      </w:tr>
    </w:tbl>
    <w:p>
      <w:pPr>
        <w:spacing w:line="360" w:lineRule="auto"/>
        <w:ind w:firstLine="420" w:firstLineChars="200"/>
        <w:rPr>
          <w:rFonts w:ascii="仿宋" w:hAnsi="仿宋" w:eastAsia="仿宋" w:cs="仿宋"/>
          <w:color w:val="000000"/>
          <w:sz w:val="28"/>
          <w:szCs w:val="28"/>
          <w:shd w:val="clear" w:color="auto" w:fill="FFFFFF"/>
        </w:rPr>
      </w:pPr>
      <w:r>
        <w:drawing>
          <wp:inline distT="0" distB="0" distL="0" distR="0">
            <wp:extent cx="5751830" cy="4088765"/>
            <wp:effectExtent l="0" t="0" r="1270" b="698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360" w:lineRule="auto"/>
        <w:jc w:val="center"/>
        <w:rPr>
          <w:rFonts w:ascii="仿宋" w:hAnsi="仿宋" w:eastAsia="仿宋" w:cs="仿宋"/>
          <w:sz w:val="28"/>
          <w:szCs w:val="28"/>
        </w:rPr>
      </w:pPr>
      <w:r>
        <w:rPr>
          <w:rFonts w:hint="eastAsia" w:ascii="仿宋" w:hAnsi="仿宋" w:eastAsia="仿宋" w:cs="仿宋"/>
          <w:sz w:val="28"/>
          <w:szCs w:val="28"/>
        </w:rPr>
        <w:t>图8</w:t>
      </w:r>
      <w:r>
        <w:rPr>
          <w:rFonts w:ascii="仿宋" w:hAnsi="仿宋" w:eastAsia="仿宋" w:cs="仿宋"/>
          <w:sz w:val="28"/>
          <w:szCs w:val="28"/>
        </w:rPr>
        <w:t xml:space="preserve">  </w:t>
      </w:r>
      <w:r>
        <w:rPr>
          <w:rFonts w:hint="eastAsia" w:ascii="仿宋" w:hAnsi="仿宋" w:eastAsia="仿宋" w:cs="仿宋"/>
          <w:sz w:val="28"/>
          <w:szCs w:val="28"/>
        </w:rPr>
        <w:t>焦作市福利彩票类型统计情况</w:t>
      </w:r>
    </w:p>
    <w:p>
      <w:pPr>
        <w:spacing w:line="360" w:lineRule="auto"/>
        <w:ind w:firstLine="420" w:firstLineChars="200"/>
        <w:jc w:val="center"/>
        <w:rPr>
          <w:rFonts w:ascii="仿宋" w:hAnsi="仿宋" w:eastAsia="仿宋" w:cs="仿宋"/>
          <w:color w:val="000000"/>
          <w:sz w:val="28"/>
          <w:szCs w:val="28"/>
          <w:shd w:val="clear" w:color="auto" w:fill="FFFFFF"/>
        </w:rPr>
      </w:pPr>
      <w:r>
        <w:drawing>
          <wp:inline distT="0" distB="0" distL="0" distR="0">
            <wp:extent cx="5667375" cy="2589530"/>
            <wp:effectExtent l="0" t="0" r="9525" b="127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line="360" w:lineRule="auto"/>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9  </w:t>
      </w:r>
      <w:r>
        <w:rPr>
          <w:rFonts w:hint="eastAsia" w:ascii="仿宋" w:hAnsi="仿宋" w:eastAsia="仿宋" w:cs="仿宋"/>
          <w:sz w:val="28"/>
          <w:szCs w:val="28"/>
        </w:rPr>
        <w:t>焦作市福利彩票地区统计情况</w:t>
      </w:r>
    </w:p>
    <w:p>
      <w:pPr>
        <w:pStyle w:val="3"/>
        <w:rPr>
          <w:shd w:val="clear" w:color="auto" w:fill="FFFFFF"/>
        </w:rPr>
      </w:pPr>
      <w:bookmarkStart w:id="17" w:name="_Toc80116038"/>
      <w:r>
        <w:rPr>
          <w:rFonts w:hint="eastAsia"/>
        </w:rPr>
        <w:t xml:space="preserve">第五节 </w:t>
      </w:r>
      <w:r>
        <w:t xml:space="preserve"> </w:t>
      </w:r>
      <w:r>
        <w:rPr>
          <w:rFonts w:hint="eastAsia"/>
          <w:shd w:val="clear" w:color="auto" w:fill="FFFFFF"/>
        </w:rPr>
        <w:t>勘界及区划地名工作趋于规范</w:t>
      </w:r>
      <w:bookmarkEnd w:id="17"/>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有效开展区划调整工作，大力推进城镇化进程，行政区划由2014年的20个乡、35个镇、52个街道办事处，调整为17个乡、35个镇、56个街道办事处，城镇化水平明显提高。在全市范围内深入开展了以地名规范、地名标志、地名规划和数字地名为重点的地名公共服务工程，市政府成立了由主管副市长担任主任、24家相关单位主管领导人担任委员的焦作市地名委员会。先后出台了一系列地名管理专项文件。编制出版《焦作市行政区划图》《焦作市政区图》等，规范了标准地名的使用。</w:t>
      </w:r>
    </w:p>
    <w:p>
      <w:pPr>
        <w:spacing w:line="360" w:lineRule="auto"/>
        <w:ind w:firstLine="560" w:firstLineChars="2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全市设置街路巷等地名标志12000余块，安装门牌37万块。开通了焦作市地名网，完成了民政部定点的全国地名地址库试点任务，建成了焦作市地名地址库管理系统。完成全国第二次地名普查工作，通过国务院和河南省地名普查领导小组验收。完成40万字的《中华人民共和国政区大典》（河南分卷·焦作部分）的编纂工作。加强行政区域界线管理工作，全市行政区域内省级边界线1条、长212公里，市级边界线4条、长333公里，县级边界线20条、长521公里，市县两级边界线总长854公里；全线埋设界桩54颗，其中，省级界桩1颗（山西省负责维护）、市级界桩22颗、县级界桩31颗。</w:t>
      </w:r>
    </w:p>
    <w:p>
      <w:pPr>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sz w:val="28"/>
          <w:szCs w:val="28"/>
          <w:shd w:val="clear" w:color="auto" w:fill="FFFFFF"/>
        </w:rPr>
        <w:t>以平安边界建设为抓手，通过开展边界毗邻市、县、乡、村层层签订平安边界共建协议书，联合制定了平安边界创建实施方案、界线联合执法办法、界线争议调解应急预案、创建平安边界睦邻友好公约等</w:t>
      </w:r>
      <w:r>
        <w:rPr>
          <w:rFonts w:hint="eastAsia" w:ascii="仿宋" w:hAnsi="仿宋" w:eastAsia="仿宋" w:cs="仿宋"/>
          <w:sz w:val="28"/>
          <w:szCs w:val="28"/>
        </w:rPr>
        <w:t>，</w:t>
      </w:r>
      <w:r>
        <w:rPr>
          <w:rFonts w:hint="eastAsia" w:ascii="仿宋" w:hAnsi="仿宋" w:eastAsia="仿宋" w:cs="仿宋"/>
          <w:sz w:val="28"/>
          <w:szCs w:val="28"/>
          <w:shd w:val="clear" w:color="auto" w:fill="FFFFFF"/>
        </w:rPr>
        <w:t>健全了平安建设联合创建工作机制、</w:t>
      </w:r>
      <w:r>
        <w:rPr>
          <w:rFonts w:hint="eastAsia" w:ascii="仿宋" w:hAnsi="仿宋" w:eastAsia="仿宋" w:cs="仿宋"/>
          <w:kern w:val="0"/>
          <w:sz w:val="28"/>
          <w:szCs w:val="28"/>
        </w:rPr>
        <w:t>界线治安联防协作机制，</w:t>
      </w:r>
      <w:r>
        <w:rPr>
          <w:rFonts w:hint="eastAsia" w:ascii="仿宋" w:hAnsi="仿宋" w:eastAsia="仿宋" w:cs="仿宋"/>
          <w:sz w:val="28"/>
          <w:szCs w:val="28"/>
          <w:shd w:val="clear" w:color="auto" w:fill="FFFFFF"/>
        </w:rPr>
        <w:t>加强了边界地区的交流与合作，先后组织开展了省、市、县三级</w:t>
      </w:r>
      <w:r>
        <w:rPr>
          <w:rFonts w:hint="eastAsia" w:ascii="仿宋" w:hAnsi="仿宋" w:eastAsia="仿宋" w:cs="仿宋"/>
          <w:color w:val="000000"/>
          <w:kern w:val="0"/>
          <w:sz w:val="28"/>
          <w:szCs w:val="28"/>
        </w:rPr>
        <w:t>界线联检，全市所有界线未出现过因界线纠纷引发的群体事件和越级上访事件，边界地区保持了和谐稳定、友好相处、团结协作、共同发展的良好局面。</w:t>
      </w:r>
    </w:p>
    <w:p>
      <w:pPr>
        <w:pStyle w:val="3"/>
        <w:rPr>
          <w:shd w:val="clear" w:color="auto" w:fill="FFFFFF"/>
        </w:rPr>
      </w:pPr>
      <w:bookmarkStart w:id="18" w:name="_Toc80116039"/>
      <w:r>
        <w:rPr>
          <w:rFonts w:hint="eastAsia"/>
        </w:rPr>
        <w:t xml:space="preserve">第六节 </w:t>
      </w:r>
      <w:r>
        <w:t xml:space="preserve"> </w:t>
      </w:r>
      <w:r>
        <w:rPr>
          <w:rFonts w:hint="eastAsia"/>
          <w:shd w:val="clear" w:color="auto" w:fill="FFFFFF"/>
        </w:rPr>
        <w:t>社会事务管理工作扎实开展</w:t>
      </w:r>
      <w:bookmarkEnd w:id="18"/>
    </w:p>
    <w:p>
      <w:pPr>
        <w:spacing w:line="360" w:lineRule="auto"/>
        <w:ind w:firstLine="560" w:firstLineChars="2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殡葬改革管理工作得到加强。认真做好了“清明节”“寒衣节”等重要时节的文明祭扫宣传工作，宣传效果良好。全市7个殡仪馆的危房和陈旧设施提升改造工程全部完成，殡葬设施符合安全、环保标准。全市火化率达到38.</w:t>
      </w:r>
      <w:r>
        <w:rPr>
          <w:rFonts w:ascii="仿宋" w:hAnsi="仿宋" w:eastAsia="仿宋" w:cs="仿宋"/>
          <w:sz w:val="28"/>
          <w:szCs w:val="28"/>
          <w:shd w:val="clear" w:color="auto" w:fill="FFFFFF"/>
          <w:lang w:val="en"/>
        </w:rPr>
        <w:t>9</w:t>
      </w:r>
      <w:r>
        <w:rPr>
          <w:rFonts w:hint="eastAsia" w:ascii="仿宋" w:hAnsi="仿宋" w:eastAsia="仿宋" w:cs="仿宋"/>
          <w:sz w:val="28"/>
          <w:szCs w:val="28"/>
          <w:shd w:val="clear" w:color="auto" w:fill="FFFFFF"/>
        </w:rPr>
        <w:t>%，在全省排名第三。在全市1826个村建立了红白理事会，大力倡导厚养薄葬、生态安葬理念。</w:t>
      </w:r>
    </w:p>
    <w:p>
      <w:pPr>
        <w:spacing w:line="360" w:lineRule="auto"/>
        <w:ind w:firstLine="560" w:firstLineChars="2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流浪乞讨人员救助工作有序开展。全市救助管理机构食品安全、住站安全、消防安全等设施设备得到全面提升。在全市推广手机app远程监控，加强对救助管理机构和托养医疗机构工作的监管。扎实开展“寒冬送温暖”、“夏季送清凉”专项救助行动，通过向全国寻亲网和“今日头条”推送寻亲信息、利用DNA信息比对、开展人脸识别等手段积极进行互联网+寻亲服务，全市流浪乞讨人员救助寻亲服务质量不断提升，“十三五”期间全市共救助流浪乞讨人员1.5万余人次，累计投入救助资金4000余万元。</w:t>
      </w:r>
    </w:p>
    <w:p>
      <w:pPr>
        <w:spacing w:line="360" w:lineRule="auto"/>
        <w:ind w:firstLine="560" w:firstLineChars="2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婚姻登记管理工作规范有序。不断加强婚姻登记的制度化、规范化建设，加大对婚姻登记政策的宣传力度，严格依法登记，规范婚姻登记档案管理，建国以来的婚姻登记档案历史数据补录完成，全市婚姻登记信息化建设基本完成。</w:t>
      </w:r>
    </w:p>
    <w:p>
      <w:pPr>
        <w:pStyle w:val="3"/>
      </w:pPr>
      <w:bookmarkStart w:id="19" w:name="_Toc80116040"/>
      <w:r>
        <w:rPr>
          <w:rFonts w:hint="eastAsia"/>
        </w:rPr>
        <w:t xml:space="preserve">第七节 </w:t>
      </w:r>
      <w:r>
        <w:t xml:space="preserve"> </w:t>
      </w:r>
      <w:r>
        <w:rPr>
          <w:rFonts w:hint="eastAsia"/>
        </w:rPr>
        <w:t>基层社会服务工作不断完善</w:t>
      </w:r>
      <w:bookmarkEnd w:id="19"/>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圆满完成村（社区）“两委”换届选举。全市1975个村（社区）共选举产生“两委”干部9382人，村（社区）书记、主任“一肩挑”的有1264人，占64.00%。“两委”成员交叉任职的有3757人（含一肩挑），交叉任职比例57.40%,“两委”成员中有女性委员的共有1659个村（社区），占比84%。新当选的村（社区）“两委”干部年龄结构更加合理，文化水平大幅提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村（居）自治水平显著提高。全面推行村级事务阳光工程，充分发挥村（居）务监督委员会作用，深化拓展“四议两公开”和“一征三议两公开”工作法，加强村务公开和民主协商工作，推动村级重大事项民主决策。加强对村规民约和居民公约的指导规范，切实把村规民约和居民公约工作作为完善基层社会治理、弘扬新风正气、推进移风易俗的重要手段，孟州市寺上村村规民约和山阳区亿祥社区居民公约被收录进全国优秀村规民约，并被《乡镇论坛》（2019年5月下）刊载。</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依托党建持续加强和完善城乡社区治理。近年来,我市始终把加强基层党的建设、巩固党的执政基础作为贯穿社会治理和基层建设的主线,以改革创新精神探索加强基层党的建设引领基层社会治理的路径。积极在居民楼院完善党组织、健全楼院党群议事会,通过党群议事会,健全各类楼院公益服务团队,培养各类居民组织带头人,依靠带头人的力量发动群众广泛参与社区建设。形成了解放区“334”楼院协商治理模式和山阳区党群360工作法等一系列先进典型。解放区“334”楼院协商治理模式被《人民日报》、新华社《国内动态清样》等媒体报道，2016年被民政部评为“2015年度中国社区治理十大创新成果”，并在全市完成推广工作。山阳区党群360工作法在全国社区治理和服务创新大会上作了经验介绍,受到民政部领导充分肯定,先后被《人民日报》《光明日报》《河南日报》《中国社区报》等媒体宣传推广。</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大力推进规范化社区创建工作。为实现社区服务设施布局更加合理、服务功能更加完善、服务质量更加优良,形成公共服务便民利民服务、志愿互助服务协调发展的新格局，依据省厅要求，在全市范围大力推进规范化社区建设，创建了</w:t>
      </w:r>
      <w:r>
        <w:rPr>
          <w:rFonts w:ascii="仿宋" w:hAnsi="仿宋" w:eastAsia="仿宋" w:cs="仿宋"/>
          <w:sz w:val="28"/>
          <w:szCs w:val="28"/>
        </w:rPr>
        <w:t>114</w:t>
      </w:r>
      <w:r>
        <w:rPr>
          <w:rFonts w:hint="eastAsia" w:ascii="仿宋" w:hAnsi="仿宋" w:eastAsia="仿宋" w:cs="仿宋"/>
          <w:sz w:val="28"/>
          <w:szCs w:val="28"/>
        </w:rPr>
        <w:t>个省级规范化社区。</w:t>
      </w:r>
    </w:p>
    <w:p>
      <w:pPr>
        <w:spacing w:line="360" w:lineRule="auto"/>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11  </w:t>
      </w:r>
      <w:r>
        <w:rPr>
          <w:rFonts w:hint="eastAsia" w:ascii="仿宋" w:hAnsi="仿宋" w:eastAsia="仿宋" w:cs="仿宋"/>
          <w:sz w:val="28"/>
          <w:szCs w:val="28"/>
        </w:rPr>
        <w:t>焦作市规范化社区统计情况</w:t>
      </w:r>
    </w:p>
    <w:tbl>
      <w:tblPr>
        <w:tblStyle w:val="15"/>
        <w:tblW w:w="9180" w:type="dxa"/>
        <w:jc w:val="center"/>
        <w:tblLayout w:type="autofit"/>
        <w:tblCellMar>
          <w:top w:w="0" w:type="dxa"/>
          <w:left w:w="108" w:type="dxa"/>
          <w:bottom w:w="0" w:type="dxa"/>
          <w:right w:w="108" w:type="dxa"/>
        </w:tblCellMar>
      </w:tblPr>
      <w:tblGrid>
        <w:gridCol w:w="1500"/>
        <w:gridCol w:w="640"/>
        <w:gridCol w:w="640"/>
        <w:gridCol w:w="640"/>
        <w:gridCol w:w="640"/>
        <w:gridCol w:w="640"/>
        <w:gridCol w:w="640"/>
        <w:gridCol w:w="640"/>
        <w:gridCol w:w="640"/>
        <w:gridCol w:w="640"/>
        <w:gridCol w:w="640"/>
        <w:gridCol w:w="640"/>
        <w:gridCol w:w="640"/>
      </w:tblGrid>
      <w:tr>
        <w:tblPrEx>
          <w:tblCellMar>
            <w:top w:w="0" w:type="dxa"/>
            <w:left w:w="108" w:type="dxa"/>
            <w:bottom w:w="0" w:type="dxa"/>
            <w:right w:w="108" w:type="dxa"/>
          </w:tblCellMar>
        </w:tblPrEx>
        <w:trPr>
          <w:trHeight w:val="555" w:hRule="atLeast"/>
          <w:jc w:val="center"/>
        </w:trPr>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县区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解放区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山阳区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中站区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马村区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示范区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沁阳市</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孟州市</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温县</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博爱县</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武陟县</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修武县</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合计</w:t>
            </w:r>
          </w:p>
        </w:tc>
      </w:tr>
      <w:tr>
        <w:tblPrEx>
          <w:tblCellMar>
            <w:top w:w="0" w:type="dxa"/>
            <w:left w:w="108" w:type="dxa"/>
            <w:bottom w:w="0" w:type="dxa"/>
            <w:right w:w="108" w:type="dxa"/>
          </w:tblCellMar>
        </w:tblPrEx>
        <w:trPr>
          <w:trHeight w:val="555" w:hRule="atLeast"/>
          <w:jc w:val="center"/>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规范化社区</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27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olor w:val="00000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olor w:val="000000"/>
                <w:sz w:val="20"/>
                <w:szCs w:val="20"/>
              </w:rPr>
              <w:t>114</w:t>
            </w:r>
          </w:p>
        </w:tc>
      </w:tr>
    </w:tbl>
    <w:p>
      <w:pPr>
        <w:spacing w:line="360" w:lineRule="auto"/>
        <w:ind w:firstLine="420" w:firstLineChars="200"/>
        <w:jc w:val="center"/>
        <w:rPr>
          <w:rFonts w:ascii="仿宋" w:hAnsi="仿宋" w:eastAsia="仿宋" w:cs="仿宋"/>
          <w:sz w:val="28"/>
          <w:szCs w:val="28"/>
        </w:rPr>
      </w:pPr>
      <w:r>
        <w:drawing>
          <wp:inline distT="0" distB="0" distL="0" distR="0">
            <wp:extent cx="5600700" cy="22860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360" w:lineRule="auto"/>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10    </w:t>
      </w:r>
      <w:r>
        <w:rPr>
          <w:rFonts w:hint="eastAsia" w:ascii="仿宋" w:hAnsi="仿宋" w:eastAsia="仿宋" w:cs="仿宋"/>
          <w:sz w:val="28"/>
          <w:szCs w:val="28"/>
        </w:rPr>
        <w:t>焦作市规范化社区分布情况</w:t>
      </w:r>
    </w:p>
    <w:p>
      <w:pPr>
        <w:pStyle w:val="3"/>
      </w:pPr>
      <w:bookmarkStart w:id="20" w:name="_Toc80116041"/>
      <w:r>
        <w:rPr>
          <w:rFonts w:hint="eastAsia"/>
        </w:rPr>
        <w:t xml:space="preserve">第八节 </w:t>
      </w:r>
      <w:r>
        <w:t xml:space="preserve"> </w:t>
      </w:r>
      <w:r>
        <w:rPr>
          <w:rFonts w:hint="eastAsia"/>
        </w:rPr>
        <w:t>社会组织管理工作持续提升</w:t>
      </w:r>
      <w:bookmarkEnd w:id="20"/>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十三五”期间，我市社会组织发展得到有效增长、质量有所提高、功能比较齐全，涉及教育、劳动、卫生、体育、科技等多个领域，在脱贫攻坚、志愿服务、慈善事业等方面发挥了应有的作用。全市社会组织从977家发展到1688家，新增社会组织711家，特别是县区社会组织从701家增长到1346家，基本实现了数量翻番。积极推进社会组织评估工作。2017年、2018年、2019年，在市级社会组织中率先开展社会组织等级第三方评估工作，共评估出5A社会组织5家，4A社会组织14家，3A社会组织23家。</w:t>
      </w:r>
    </w:p>
    <w:p>
      <w:pPr>
        <w:spacing w:line="360" w:lineRule="auto"/>
        <w:ind w:firstLine="560" w:firstLineChars="200"/>
        <w:rPr>
          <w:rFonts w:ascii="仿宋" w:hAnsi="仿宋" w:eastAsia="仿宋" w:cs="仿宋"/>
          <w:bCs/>
          <w:sz w:val="28"/>
          <w:szCs w:val="28"/>
        </w:rPr>
      </w:pPr>
      <w:r>
        <w:rPr>
          <w:rFonts w:hint="eastAsia" w:ascii="仿宋" w:hAnsi="仿宋" w:eastAsia="仿宋" w:cs="仿宋"/>
          <w:sz w:val="28"/>
          <w:szCs w:val="28"/>
        </w:rPr>
        <w:t>2018年，社会组织登记管理认真规范中介服务行为，扎实推进社会组织登记审批“放管服”改革，市级社会组织法定代表人离任和清算注销审计经费列入财政预算，切实为社会组织减轻了经济负担，解决了实际困难。</w:t>
      </w:r>
    </w:p>
    <w:p>
      <w:pPr>
        <w:pStyle w:val="3"/>
      </w:pPr>
      <w:bookmarkStart w:id="21" w:name="_Toc80116042"/>
      <w:r>
        <w:rPr>
          <w:rFonts w:hint="eastAsia"/>
        </w:rPr>
        <w:t xml:space="preserve">第九节 </w:t>
      </w:r>
      <w:r>
        <w:t xml:space="preserve"> </w:t>
      </w:r>
      <w:r>
        <w:rPr>
          <w:rFonts w:hint="eastAsia"/>
        </w:rPr>
        <w:t>行政事项服务工作大幅提升</w:t>
      </w:r>
      <w:bookmarkEnd w:id="21"/>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市级民政业务行政审批事项全面规范。从办理程序、精简材料、减少环节、压缩时限等方面着手，以提升便民服务水平为目的，全面落实“一次办妥”工作，在全省民政系统中率先完成“三级十同”工作。重新修订完善行政审批办事制度和服务流程，依据权力运行各环节要求，对我局96项行政审批服务事项要素进行全面梳理，修订完善办理规程和服务指南文，做好校核、编印工作，为办事群众提供参照依据，为咨询服务提供告知范本，为受理人员提供权重支持。</w:t>
      </w:r>
      <w:r>
        <w:rPr>
          <w:rFonts w:ascii="仿宋" w:hAnsi="仿宋" w:eastAsia="仿宋" w:cs="仿宋"/>
          <w:sz w:val="28"/>
          <w:szCs w:val="28"/>
        </w:rPr>
        <w:br w:type="page"/>
      </w:r>
    </w:p>
    <w:p>
      <w:pPr>
        <w:pStyle w:val="2"/>
        <w:rPr>
          <w:rFonts w:hint="default"/>
        </w:rPr>
      </w:pPr>
      <w:bookmarkStart w:id="22" w:name="_Toc80116043"/>
      <w:r>
        <w:t xml:space="preserve">第三章 </w:t>
      </w:r>
      <w:r>
        <w:rPr>
          <w:rFonts w:hint="default"/>
        </w:rPr>
        <w:t xml:space="preserve"> </w:t>
      </w:r>
      <w:r>
        <w:t>“十四五”时期民政事业发展主要任务</w:t>
      </w:r>
      <w:bookmarkEnd w:id="22"/>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“十四五”时期民政事业发展的总体目标是：至2</w:t>
      </w:r>
      <w:r>
        <w:rPr>
          <w:rFonts w:ascii="仿宋" w:hAnsi="仿宋" w:eastAsia="仿宋" w:cs="仿宋"/>
          <w:sz w:val="28"/>
          <w:szCs w:val="28"/>
        </w:rPr>
        <w:t>025</w:t>
      </w:r>
      <w:r>
        <w:rPr>
          <w:rFonts w:hint="eastAsia" w:ascii="仿宋" w:hAnsi="仿宋" w:eastAsia="仿宋" w:cs="仿宋"/>
          <w:sz w:val="28"/>
          <w:szCs w:val="28"/>
        </w:rPr>
        <w:t>年，基本建成覆盖城乡、制度健全、设施完善、功能齐全、布局合理、水平适度的社会服务和专项事务管理体系，民政法制更加健全、体系更加优化、设施更加完善、保障更加有力、社会参与更加广泛，城乡社会服务实现全覆盖，在城乡、区域和不同社会群体之间基本实现社会福利与保障水平均等化，有效满足新时代人民群众对日益增长的美好生活的需求。</w:t>
      </w:r>
    </w:p>
    <w:p>
      <w:pPr>
        <w:pStyle w:val="3"/>
      </w:pPr>
      <w:bookmarkStart w:id="23" w:name="_Toc80116044"/>
      <w:bookmarkStart w:id="24" w:name="_Toc455089451"/>
      <w:r>
        <w:rPr>
          <w:rFonts w:hint="eastAsia"/>
        </w:rPr>
        <w:t xml:space="preserve">第一节 </w:t>
      </w:r>
      <w:r>
        <w:t xml:space="preserve"> </w:t>
      </w:r>
      <w:r>
        <w:rPr>
          <w:rFonts w:hint="eastAsia"/>
        </w:rPr>
        <w:t>社会救助体系</w:t>
      </w:r>
      <w:bookmarkEnd w:id="23"/>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坚持保基本，兜底线、救急难、可持续的总体思路，以统筹救助资源，增强兜底功能，提升服务能力为重点，完善法规制度，健全体制机制，强化政策落实，不断增强困难群众的获得感、幸福感、安全感。用2年左右时间，健全分层分类，城乡统筹的社会救助体系，在制度更加成熟更加定型上取得明显成效。社会救助法制健全完备，体制机制高效顺畅，服务管理便民惠民，兜底保障功能有效发挥，城乡困难群众都能得到及时救助。实现社会救助事业高质量发展，改革发展成果更多更公平惠及困难群众，民生兜底保障安全网密实牢靠。</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w:t>
      </w:r>
      <w:r>
        <w:rPr>
          <w:rFonts w:ascii="仿宋" w:hAnsi="仿宋" w:eastAsia="仿宋" w:cs="仿宋"/>
          <w:sz w:val="28"/>
          <w:szCs w:val="28"/>
        </w:rPr>
        <w:t>巩固兜底保障脱贫成效。将符合条件的无劳动能力贫困人口全部纳入农村低保和特困人员救助供养范围,确保应兜尽兜。健全完善监测预警机制，对</w:t>
      </w:r>
      <w:r>
        <w:rPr>
          <w:rFonts w:hint="eastAsia" w:ascii="仿宋" w:hAnsi="仿宋" w:eastAsia="仿宋" w:cs="仿宋"/>
          <w:sz w:val="28"/>
          <w:szCs w:val="28"/>
        </w:rPr>
        <w:t>收入不稳定、持续增收能力较弱、返贫风险较高的已脱贫人口作为</w:t>
      </w:r>
      <w:r>
        <w:rPr>
          <w:rFonts w:ascii="仿宋" w:hAnsi="仿宋" w:eastAsia="仿宋" w:cs="仿宋"/>
          <w:sz w:val="28"/>
          <w:szCs w:val="28"/>
        </w:rPr>
        <w:t>监测</w:t>
      </w:r>
      <w:r>
        <w:rPr>
          <w:rFonts w:hint="eastAsia" w:ascii="仿宋" w:hAnsi="仿宋" w:eastAsia="仿宋" w:cs="仿宋"/>
          <w:sz w:val="28"/>
          <w:szCs w:val="28"/>
        </w:rPr>
        <w:t>重点</w:t>
      </w:r>
      <w:r>
        <w:rPr>
          <w:rFonts w:ascii="仿宋" w:hAnsi="仿宋" w:eastAsia="仿宋" w:cs="仿宋"/>
          <w:sz w:val="28"/>
          <w:szCs w:val="28"/>
        </w:rPr>
        <w:t>,</w:t>
      </w:r>
      <w:r>
        <w:rPr>
          <w:rFonts w:hint="eastAsia" w:ascii="仿宋" w:hAnsi="仿宋" w:eastAsia="仿宋" w:cs="仿宋"/>
          <w:sz w:val="28"/>
          <w:szCs w:val="28"/>
        </w:rPr>
        <w:t>密切关注潜在救助对象基本生活状况，将符合条件的及时纳入兜底保障，巩固脱贫攻坚成果。增加低收入人口动态监测信息平台，覆盖全焦作，分层分级、上下联动、部门协调、定期更新，从而实现对低收入人口的信息汇聚，常态监测和快速预警，即时干预，精准救助，综合帮扶，坚决守住不发生规模性返贫的底线。</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2.完善最低生活保障制度。规范完善最低生活保障制度，完善低保救助家庭收入和家庭财产识别认定的标准和条件，完善信息核对机制，</w:t>
      </w:r>
      <w:r>
        <w:rPr>
          <w:rFonts w:ascii="仿宋" w:hAnsi="仿宋" w:eastAsia="仿宋" w:cs="仿宋"/>
          <w:sz w:val="28"/>
          <w:szCs w:val="28"/>
        </w:rPr>
        <w:t>规范核查流程，优化低保审核</w:t>
      </w:r>
      <w:r>
        <w:rPr>
          <w:rFonts w:hint="eastAsia" w:ascii="仿宋" w:hAnsi="仿宋" w:eastAsia="仿宋" w:cs="仿宋"/>
          <w:sz w:val="28"/>
          <w:szCs w:val="28"/>
        </w:rPr>
        <w:t>确认</w:t>
      </w:r>
      <w:r>
        <w:rPr>
          <w:rFonts w:ascii="仿宋" w:hAnsi="仿宋" w:eastAsia="仿宋" w:cs="仿宋"/>
          <w:sz w:val="28"/>
          <w:szCs w:val="28"/>
        </w:rPr>
        <w:t>程序</w:t>
      </w:r>
      <w:r>
        <w:rPr>
          <w:rFonts w:hint="eastAsia" w:ascii="仿宋" w:hAnsi="仿宋" w:eastAsia="仿宋" w:cs="仿宋"/>
          <w:sz w:val="28"/>
          <w:szCs w:val="28"/>
        </w:rPr>
        <w:t>，推行低保、特困和小额临时救助审核确认权下放。严格执行低保申请受理、信息核对、入户调查、张榜公示、审核确认程序，精准认定低保对象。加强分类动态管理，健全低保对象定期核查机制，加强低保与就业救助、乡村振兴等政策的衔接，鼓励有劳动能力和劳动条件的低保对象依靠自身努力脱贫增收。规范基本生活救助标准调整机制，综合考虑居民人均消费支出或人均可支配收入等因素，结合财力状况合理制定低保标准并建立动态调整机制，进一步完善社会救助和保障标准与物价上涨挂钩的联动机制。现阶段全市城市最低生活保障月标准600元，农村最低生活保障年标准4500元，参考GDP年度增长率、居民人均消费支出水平提高低保标准。</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健全特困人员救助供养制度。健全特困人员救助供养制度，围绕对象认定精准、救助标准认定精准、供养服务实施精准等要求，进一步规范资格条件，明确认定办法，严格审批程序，完善标准制定，优化服务供给，将符合条件的特困人员全部纳入救助范围，切实做到应养尽养。强化供养服务机构托底保障职责，研究制定服务标准体系，优化供养服务功能，重点为完全或者部分丧失生活自理能力的特困人员提供集中供养服务，到十四五末，丧失生活自理能力的特困人员集中供养率不低于70%。</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全面高效实施临时救助制度。逐步提高救助标准，简化优化临时救助程序，切实缓解群众突发性、紧迫性、阶段性基本生活困难。落实好“分级审批”“先行救助”“一事一议”、临时救助备用金等政策规定，逐步取消户籍地申请限制，畅通急难性社会救助申请和急难情况及时报告、主动发现渠道，建立健全快速响应、个案会商“救急难”工作机制，切实解决困难群众突发性、紧迫性、临时性基本生活困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健全社会救助工作协调机制。推进部门资源互联互通、信息共享，运用现代信息技术推进救助体系聚合、救助资源统筹、救助效率提升，实现精准救助、高效救助、温暖救助、智慧救助。健全完善乡镇（街道）“一门受理、协同办理”机制，提高管理经办服务效率。健全社会参与机制，完善政府购买、开发岗位、政策引导、税费减免等优惠政策，引导社会工作和志愿服务广泛参与，为社会救助对象提供社会融入、能力提升、心理疏导等服务。</w:t>
      </w:r>
    </w:p>
    <w:p>
      <w:pPr>
        <w:pStyle w:val="3"/>
      </w:pPr>
      <w:bookmarkStart w:id="25" w:name="_Toc80116045"/>
      <w:r>
        <w:rPr>
          <w:rFonts w:hint="eastAsia"/>
        </w:rPr>
        <w:t xml:space="preserve">第二节 </w:t>
      </w:r>
      <w:r>
        <w:t xml:space="preserve"> 养老服务体系</w:t>
      </w:r>
      <w:bookmarkEnd w:id="24"/>
      <w:bookmarkEnd w:id="25"/>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积极开展应对人口老龄化行动，加快发展养老服务业，全面建成以居家为基础、社区为依托、机构为补充、医养相结合的多层次养老服务体系，全面放开养老服务市场，增加养老服务产品供给。</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1.养老机构建设。充分发挥政府保基本、兜底线作用，开展敬老院改造提升三年行动计划，加强现有县级供养服务设施建设，重点增强长期照护功能，确保全市敬老院照护型床位占比不低于总床位数</w:t>
      </w:r>
      <w:r>
        <w:rPr>
          <w:rFonts w:ascii="仿宋" w:hAnsi="仿宋" w:eastAsia="仿宋" w:cs="仿宋"/>
          <w:sz w:val="28"/>
          <w:szCs w:val="28"/>
        </w:rPr>
        <w:t>55</w:t>
      </w:r>
      <w:r>
        <w:rPr>
          <w:rFonts w:hint="eastAsia" w:ascii="仿宋" w:hAnsi="仿宋" w:eastAsia="仿宋" w:cs="仿宋"/>
          <w:sz w:val="28"/>
          <w:szCs w:val="28"/>
        </w:rPr>
        <w:t>%。完成市福利院迁建项目建设任务，按照现代化福利院管理水平，把市福利院打造成全省示范性公办养老机构。重点为城乡特困老人、低保家庭中的失能半失能老人提供无偿或低收费的供养、护理服务。大力推进运营体制改革，支持公办民营、公建民营、民办公助等多种运营形式。积极引导社会参与，通过补助投资、政府购买服务、运营补贴、金融扶持、税费减免等政策，支持社会力量举办养老服务机构。</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居家和社区养老服务。积极开展全国第五批居家和社区养老服务改革试点工作，统筹规划发展城乡社区养老服务设施，加强社区日间照料中心、农村幸福院建设，加大医疗护理、康复辅具、文娱活动设施配备力度。“十四五”期间，持续打造重点民生实事城乡示范性养老服务设施，覆盖市县乡三级；持续加强区域性城市社区综合养老服务中心建设，充分发挥街道级综合养老服务示范点辐射带动作用，不断优化社区养老服务功能，基本满足老年人离家不离社区的养老服务需求。全面提升特困人员供养服务机构建设和管理水平，逐步转型为农村区域性养老服务中心。持续提升农村幸福院建设，在实现全市千人以上行政村农村幸福院全覆盖基础上，进一步提升质量，为农村老年人提供就餐、康复保健、文化娱乐、日间休息等照料服务。</w:t>
      </w:r>
    </w:p>
    <w:p>
      <w:pPr>
        <w:spacing w:line="360" w:lineRule="auto"/>
        <w:ind w:firstLine="560" w:firstLineChars="200"/>
        <w:rPr>
          <w:rFonts w:ascii="仿宋" w:hAnsi="仿宋" w:eastAsia="仿宋"/>
          <w:sz w:val="28"/>
          <w:szCs w:val="28"/>
        </w:rPr>
      </w:pPr>
      <w:r>
        <w:rPr>
          <w:rFonts w:hint="eastAsia" w:ascii="仿宋" w:hAnsi="仿宋" w:eastAsia="仿宋" w:cs="仿宋"/>
          <w:sz w:val="28"/>
          <w:szCs w:val="28"/>
        </w:rPr>
        <w:t>3.医养结合。统筹养老服务资源布局，重点加强老年病康复医院、护理院、临终关怀机构建设。鼓励养老机构与周边医疗卫生机构开展多种形式的协议合作，支持养老机构开展医疗服务。</w:t>
      </w:r>
      <w:r>
        <w:rPr>
          <w:rFonts w:hint="eastAsia" w:ascii="仿宋" w:hAnsi="仿宋" w:eastAsia="仿宋"/>
          <w:sz w:val="28"/>
          <w:szCs w:val="28"/>
        </w:rPr>
        <w:t>促进医疗卫生和养老服务相结合，加快推进医疗卫生与养老服务相结合</w:t>
      </w:r>
      <w:r>
        <w:rPr>
          <w:rFonts w:ascii="仿宋" w:hAnsi="仿宋" w:eastAsia="仿宋"/>
          <w:sz w:val="28"/>
          <w:szCs w:val="28"/>
        </w:rPr>
        <w:t>,建立健全医养结合体制机制和政策法规,推动医疗卫生</w:t>
      </w:r>
      <w:r>
        <w:rPr>
          <w:rFonts w:hint="eastAsia" w:ascii="仿宋" w:hAnsi="仿宋" w:eastAsia="仿宋"/>
          <w:sz w:val="28"/>
          <w:szCs w:val="28"/>
        </w:rPr>
        <w:t>和养老服务资源有序共享</w:t>
      </w:r>
      <w:r>
        <w:rPr>
          <w:rFonts w:ascii="仿宋" w:hAnsi="仿宋" w:eastAsia="仿宋"/>
          <w:sz w:val="28"/>
          <w:szCs w:val="28"/>
        </w:rPr>
        <w:t>,形成覆盖城乡、规模适宜、功能合理、综合连续的医养结合服务网</w:t>
      </w:r>
      <w:r>
        <w:rPr>
          <w:rFonts w:hint="eastAsia" w:ascii="仿宋" w:hAnsi="仿宋" w:eastAsia="仿宋"/>
          <w:sz w:val="28"/>
          <w:szCs w:val="28"/>
        </w:rPr>
        <w:t>络。</w:t>
      </w:r>
    </w:p>
    <w:p>
      <w:pPr>
        <w:spacing w:line="360" w:lineRule="auto"/>
        <w:ind w:firstLine="560" w:firstLineChars="200"/>
        <w:rPr>
          <w:rFonts w:ascii="仿宋" w:hAnsi="仿宋" w:eastAsia="仿宋"/>
          <w:sz w:val="28"/>
          <w:szCs w:val="28"/>
        </w:rPr>
      </w:pPr>
      <w:r>
        <w:rPr>
          <w:rFonts w:ascii="仿宋" w:hAnsi="仿宋" w:eastAsia="仿宋"/>
          <w:sz w:val="28"/>
          <w:szCs w:val="28"/>
        </w:rPr>
        <w:t>(1)医养结合。统筹医疗卫生与养老服务资源布局,支持养老机构开展医疗服务,符合条件</w:t>
      </w:r>
      <w:r>
        <w:rPr>
          <w:rFonts w:hint="eastAsia" w:ascii="仿宋" w:hAnsi="仿宋" w:eastAsia="仿宋"/>
          <w:sz w:val="28"/>
          <w:szCs w:val="28"/>
        </w:rPr>
        <w:t>的可按规定与基本医疗保险经办机构签订基本医疗保险定点服务协议</w:t>
      </w:r>
      <w:r>
        <w:rPr>
          <w:rFonts w:ascii="仿宋" w:hAnsi="仿宋" w:eastAsia="仿宋"/>
          <w:sz w:val="28"/>
          <w:szCs w:val="28"/>
        </w:rPr>
        <w:t>,入住的老年人可就地享</w:t>
      </w:r>
      <w:r>
        <w:rPr>
          <w:rFonts w:hint="eastAsia" w:ascii="仿宋" w:hAnsi="仿宋" w:eastAsia="仿宋"/>
          <w:sz w:val="28"/>
          <w:szCs w:val="28"/>
        </w:rPr>
        <w:t>受医保报销待遇。鼓励养老机构与周边医疗卫生机构开展多种形式的协议合作</w:t>
      </w:r>
      <w:r>
        <w:rPr>
          <w:rFonts w:ascii="仿宋" w:hAnsi="仿宋" w:eastAsia="仿宋"/>
          <w:sz w:val="28"/>
          <w:szCs w:val="28"/>
        </w:rPr>
        <w:t>,医疗卫生机构</w:t>
      </w:r>
      <w:r>
        <w:rPr>
          <w:rFonts w:hint="eastAsia" w:ascii="仿宋" w:hAnsi="仿宋" w:eastAsia="仿宋"/>
          <w:sz w:val="28"/>
          <w:szCs w:val="28"/>
        </w:rPr>
        <w:t>为老年人开通预约挂号、转诊等绿色通道。优先发展适用于老年人护理照料的康复辅具产品。加强老年病医院、康复医院、护理院、临终关怀机构建设。鼓励医疗机构将护理服务延伸至家庭、城乡社区和养老机构。</w:t>
      </w:r>
    </w:p>
    <w:p>
      <w:pPr>
        <w:spacing w:line="360" w:lineRule="auto"/>
        <w:ind w:firstLine="560" w:firstLineChars="200"/>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2</w:t>
      </w:r>
      <w:r>
        <w:rPr>
          <w:rFonts w:ascii="仿宋" w:hAnsi="仿宋" w:eastAsia="仿宋"/>
          <w:sz w:val="28"/>
          <w:szCs w:val="28"/>
        </w:rPr>
        <w:t>)试点示范。选择有条件、有代表性的</w:t>
      </w:r>
      <w:r>
        <w:rPr>
          <w:rFonts w:hint="eastAsia" w:ascii="仿宋" w:hAnsi="仿宋" w:eastAsia="仿宋"/>
          <w:sz w:val="28"/>
          <w:szCs w:val="28"/>
        </w:rPr>
        <w:t>县区</w:t>
      </w:r>
      <w:r>
        <w:rPr>
          <w:rFonts w:ascii="仿宋" w:hAnsi="仿宋" w:eastAsia="仿宋"/>
          <w:sz w:val="28"/>
          <w:szCs w:val="28"/>
        </w:rPr>
        <w:t>进行医养结合试点,规划建设一批特色鲜明、</w:t>
      </w:r>
      <w:r>
        <w:rPr>
          <w:rFonts w:hint="eastAsia" w:ascii="仿宋" w:hAnsi="仿宋" w:eastAsia="仿宋"/>
          <w:sz w:val="28"/>
          <w:szCs w:val="28"/>
        </w:rPr>
        <w:t>示范性强的医养结合试点项目。实施养老服务信息惠民和养老机构远程医疗合作等试点专项</w:t>
      </w:r>
      <w:r>
        <w:rPr>
          <w:rFonts w:ascii="仿宋" w:hAnsi="仿宋" w:eastAsia="仿宋"/>
          <w:sz w:val="28"/>
          <w:szCs w:val="28"/>
        </w:rPr>
        <w:t>,</w:t>
      </w:r>
      <w:r>
        <w:rPr>
          <w:rFonts w:hint="eastAsia" w:ascii="仿宋" w:hAnsi="仿宋" w:eastAsia="仿宋"/>
          <w:sz w:val="28"/>
          <w:szCs w:val="28"/>
        </w:rPr>
        <w:t>推进智慧医养护一体化发展。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养老消费市场。出台加快全市养老产业发展的实施意见，完善政府购买养老服务机制，促进养老和多领域深度融合，支持健康养老、养老休闲、养老旅游等重点领域发展。加强行业监管，严格养老服务标准，强化养老行业服务监管，完善养老服务定价机制，优化养老服务业发展环境。</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智慧化养老。提升全市智慧化养老服务水平，建成并运营焦作市智慧养老服务中心。普遍推广居家养老服务网络平台，提供紧急呼叫、家政预约、健康咨询、餐饮配送、服务缴费等服务项目，打造“互联网+养老”新业态。指导各县（市）区新建或整合县级养老服务综合信息平台，与市智慧养老服务中心平台实现对接。</w:t>
      </w:r>
    </w:p>
    <w:p>
      <w:pPr>
        <w:spacing w:line="360" w:lineRule="auto"/>
        <w:ind w:firstLine="560" w:firstLineChars="200"/>
        <w:rPr>
          <w:rFonts w:ascii="仿宋" w:hAnsi="仿宋" w:eastAsia="仿宋"/>
          <w:sz w:val="28"/>
          <w:szCs w:val="28"/>
        </w:rPr>
      </w:pPr>
      <w:r>
        <w:rPr>
          <w:rFonts w:hint="eastAsia" w:ascii="仿宋" w:hAnsi="仿宋" w:eastAsia="仿宋"/>
          <w:sz w:val="28"/>
          <w:szCs w:val="28"/>
        </w:rPr>
        <w:t>6</w:t>
      </w:r>
      <w:r>
        <w:rPr>
          <w:rFonts w:ascii="仿宋" w:hAnsi="仿宋" w:eastAsia="仿宋"/>
          <w:sz w:val="28"/>
          <w:szCs w:val="28"/>
        </w:rPr>
        <w:t>.</w:t>
      </w:r>
      <w:r>
        <w:rPr>
          <w:rFonts w:hint="eastAsia" w:ascii="仿宋" w:hAnsi="仿宋" w:eastAsia="仿宋"/>
          <w:sz w:val="28"/>
          <w:szCs w:val="28"/>
        </w:rPr>
        <w:t>强化居家和社区养老服务功能</w:t>
      </w:r>
      <w:r>
        <w:rPr>
          <w:rFonts w:ascii="仿宋" w:hAnsi="仿宋" w:eastAsia="仿宋"/>
          <w:sz w:val="28"/>
          <w:szCs w:val="28"/>
        </w:rPr>
        <w:t>,积极开展智慧养老服务和互助养老服务,提高养</w:t>
      </w:r>
      <w:r>
        <w:rPr>
          <w:rFonts w:hint="eastAsia" w:ascii="仿宋" w:hAnsi="仿宋" w:eastAsia="仿宋"/>
          <w:sz w:val="28"/>
          <w:szCs w:val="28"/>
        </w:rPr>
        <w:t>老</w:t>
      </w:r>
      <w:r>
        <w:rPr>
          <w:rFonts w:ascii="仿宋" w:hAnsi="仿宋" w:eastAsia="仿宋"/>
          <w:sz w:val="28"/>
          <w:szCs w:val="28"/>
        </w:rPr>
        <w:t>服务能力,</w:t>
      </w:r>
      <w:r>
        <w:rPr>
          <w:rFonts w:hint="eastAsia" w:ascii="仿宋" w:hAnsi="仿宋" w:eastAsia="仿宋"/>
          <w:sz w:val="28"/>
          <w:szCs w:val="28"/>
        </w:rPr>
        <w:t>为有需求的城乡老年人提供便利的社区居家养老服务。</w:t>
      </w:r>
    </w:p>
    <w:p>
      <w:pPr>
        <w:spacing w:line="360" w:lineRule="auto"/>
        <w:ind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居家</w:t>
      </w:r>
      <w:r>
        <w:rPr>
          <w:rFonts w:ascii="仿宋" w:hAnsi="仿宋" w:eastAsia="仿宋"/>
          <w:sz w:val="28"/>
          <w:szCs w:val="28"/>
        </w:rPr>
        <w:t>养老服务</w:t>
      </w:r>
      <w:r>
        <w:rPr>
          <w:rFonts w:hint="eastAsia" w:ascii="仿宋" w:hAnsi="仿宋" w:eastAsia="仿宋"/>
          <w:sz w:val="28"/>
          <w:szCs w:val="28"/>
        </w:rPr>
        <w:t>。积极推进老年人家庭适老化改造和家庭养老床位建设，聚焦老年人安全、健康等功能性需求，围绕“如厕洗澡安全，室内行走便利，居家环境改善，智能监测跟进，辅具配备到位”五个方面，开展包括地面、墙体、卧室、客厅、厨房间、卫生间等施工改造服务，以提升老年人生活自理能力和居家生活品质。</w:t>
      </w:r>
      <w:r>
        <w:rPr>
          <w:rFonts w:ascii="仿宋" w:hAnsi="仿宋" w:eastAsia="仿宋"/>
          <w:sz w:val="28"/>
          <w:szCs w:val="28"/>
        </w:rPr>
        <w:t>支持企业和机构运用移动互联网、云计算、大数据、物联网等技术手段</w:t>
      </w:r>
      <w:r>
        <w:rPr>
          <w:rFonts w:hint="eastAsia" w:ascii="仿宋" w:hAnsi="仿宋" w:eastAsia="仿宋"/>
          <w:sz w:val="28"/>
          <w:szCs w:val="28"/>
        </w:rPr>
        <w:t>与养老服务深度融合</w:t>
      </w:r>
      <w:r>
        <w:rPr>
          <w:rFonts w:ascii="仿宋" w:hAnsi="仿宋" w:eastAsia="仿宋"/>
          <w:sz w:val="28"/>
          <w:szCs w:val="28"/>
        </w:rPr>
        <w:t>,创新居</w:t>
      </w:r>
      <w:r>
        <w:rPr>
          <w:rFonts w:hint="eastAsia" w:ascii="仿宋" w:hAnsi="仿宋" w:eastAsia="仿宋"/>
          <w:sz w:val="28"/>
          <w:szCs w:val="28"/>
        </w:rPr>
        <w:t>家</w:t>
      </w:r>
      <w:r>
        <w:rPr>
          <w:rFonts w:ascii="仿宋" w:hAnsi="仿宋" w:eastAsia="仿宋"/>
          <w:sz w:val="28"/>
          <w:szCs w:val="28"/>
        </w:rPr>
        <w:t>智慧</w:t>
      </w:r>
      <w:r>
        <w:rPr>
          <w:rFonts w:hint="eastAsia" w:ascii="仿宋" w:hAnsi="仿宋" w:eastAsia="仿宋"/>
          <w:sz w:val="28"/>
          <w:szCs w:val="28"/>
        </w:rPr>
        <w:t>养</w:t>
      </w:r>
      <w:r>
        <w:rPr>
          <w:rFonts w:ascii="仿宋" w:hAnsi="仿宋" w:eastAsia="仿宋"/>
          <w:sz w:val="28"/>
          <w:szCs w:val="28"/>
        </w:rPr>
        <w:t>老服务。推广居家养老服务网络平台,提供</w:t>
      </w:r>
      <w:r>
        <w:rPr>
          <w:rFonts w:hint="eastAsia" w:ascii="仿宋" w:hAnsi="仿宋" w:eastAsia="仿宋"/>
          <w:sz w:val="28"/>
          <w:szCs w:val="28"/>
        </w:rPr>
        <w:t>紧急呼叫、家政预约、健康管理、物品代购、餐饮递送、服务缴费、康复辅具等适合老年人的服务项目。依托各类社区养老服务设施</w:t>
      </w:r>
      <w:r>
        <w:rPr>
          <w:rFonts w:ascii="仿宋" w:hAnsi="仿宋" w:eastAsia="仿宋"/>
          <w:sz w:val="28"/>
          <w:szCs w:val="28"/>
        </w:rPr>
        <w:t>,探索新型居家养老</w:t>
      </w:r>
      <w:r>
        <w:rPr>
          <w:rFonts w:hint="eastAsia" w:ascii="仿宋" w:hAnsi="仿宋" w:eastAsia="仿宋"/>
          <w:sz w:val="28"/>
          <w:szCs w:val="28"/>
        </w:rPr>
        <w:t>模</w:t>
      </w:r>
      <w:r>
        <w:rPr>
          <w:rFonts w:ascii="仿宋" w:hAnsi="仿宋" w:eastAsia="仿宋"/>
          <w:sz w:val="28"/>
          <w:szCs w:val="28"/>
        </w:rPr>
        <w:t>式</w:t>
      </w:r>
      <w:r>
        <w:rPr>
          <w:rFonts w:hint="eastAsia" w:ascii="仿宋" w:hAnsi="仿宋" w:eastAsia="仿宋"/>
          <w:sz w:val="28"/>
          <w:szCs w:val="28"/>
        </w:rPr>
        <w:t>。</w:t>
      </w:r>
    </w:p>
    <w:p>
      <w:pPr>
        <w:spacing w:line="360" w:lineRule="auto"/>
        <w:ind w:firstLine="560" w:firstLineChars="200"/>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2</w:t>
      </w:r>
      <w:r>
        <w:rPr>
          <w:rFonts w:ascii="仿宋" w:hAnsi="仿宋" w:eastAsia="仿宋"/>
          <w:sz w:val="28"/>
          <w:szCs w:val="28"/>
        </w:rPr>
        <w:t>)社区养老服务</w:t>
      </w:r>
      <w:r>
        <w:rPr>
          <w:rFonts w:hint="eastAsia" w:ascii="仿宋" w:hAnsi="仿宋" w:eastAsia="仿宋"/>
          <w:sz w:val="28"/>
          <w:szCs w:val="28"/>
        </w:rPr>
        <w:t>。</w:t>
      </w:r>
      <w:r>
        <w:rPr>
          <w:rFonts w:ascii="仿宋" w:hAnsi="仿宋" w:eastAsia="仿宋"/>
          <w:sz w:val="28"/>
          <w:szCs w:val="28"/>
        </w:rPr>
        <w:t>加强社区养老服务设施建设,在老年人日间照料中心、托老所、老年人</w:t>
      </w:r>
      <w:r>
        <w:rPr>
          <w:rFonts w:hint="eastAsia" w:ascii="仿宋" w:hAnsi="仿宋" w:eastAsia="仿宋"/>
          <w:sz w:val="28"/>
          <w:szCs w:val="28"/>
        </w:rPr>
        <w:t>活动中心、互助式养老服务中心等社区养老服务设施中配备医疗护理、康复、文娱活动等设备。新建城区和新建居住</w:t>
      </w:r>
      <w:r>
        <w:rPr>
          <w:rFonts w:ascii="仿宋" w:hAnsi="仿宋" w:eastAsia="仿宋"/>
          <w:sz w:val="28"/>
          <w:szCs w:val="28"/>
        </w:rPr>
        <w:t>(小)区,按要求</w:t>
      </w:r>
      <w:r>
        <w:rPr>
          <w:rFonts w:hint="eastAsia" w:ascii="仿宋" w:hAnsi="仿宋" w:eastAsia="仿宋"/>
          <w:sz w:val="28"/>
          <w:szCs w:val="28"/>
        </w:rPr>
        <w:t>配</w:t>
      </w:r>
      <w:r>
        <w:rPr>
          <w:rFonts w:ascii="仿宋" w:hAnsi="仿宋" w:eastAsia="仿宋"/>
          <w:sz w:val="28"/>
          <w:szCs w:val="28"/>
        </w:rPr>
        <w:t>套建设社区日间照料机构,并与</w:t>
      </w:r>
      <w:r>
        <w:rPr>
          <w:rFonts w:hint="eastAsia" w:ascii="仿宋" w:hAnsi="仿宋" w:eastAsia="仿宋"/>
          <w:sz w:val="28"/>
          <w:szCs w:val="28"/>
        </w:rPr>
        <w:t>住宅</w:t>
      </w:r>
      <w:r>
        <w:rPr>
          <w:rFonts w:ascii="仿宋" w:hAnsi="仿宋" w:eastAsia="仿宋"/>
          <w:sz w:val="28"/>
          <w:szCs w:val="28"/>
        </w:rPr>
        <w:t>同步规</w:t>
      </w:r>
      <w:r>
        <w:rPr>
          <w:rFonts w:hint="eastAsia" w:ascii="仿宋" w:hAnsi="仿宋" w:eastAsia="仿宋"/>
          <w:sz w:val="28"/>
          <w:szCs w:val="28"/>
        </w:rPr>
        <w:t>划、同步建设、同步验收、同步交付使用。老城区和已建成居住</w:t>
      </w:r>
      <w:r>
        <w:rPr>
          <w:rFonts w:ascii="仿宋" w:hAnsi="仿宋" w:eastAsia="仿宋"/>
          <w:sz w:val="28"/>
          <w:szCs w:val="28"/>
        </w:rPr>
        <w:t>(小)区无社区日间照料机构</w:t>
      </w:r>
      <w:r>
        <w:rPr>
          <w:rFonts w:hint="eastAsia" w:ascii="仿宋" w:hAnsi="仿宋" w:eastAsia="仿宋"/>
          <w:sz w:val="28"/>
          <w:szCs w:val="28"/>
        </w:rPr>
        <w:t>或现有设施没有达到规划要求的</w:t>
      </w:r>
      <w:r>
        <w:rPr>
          <w:rFonts w:ascii="仿宋" w:hAnsi="仿宋" w:eastAsia="仿宋"/>
          <w:sz w:val="28"/>
          <w:szCs w:val="28"/>
        </w:rPr>
        <w:t>,要通过购置、</w:t>
      </w:r>
      <w:r>
        <w:rPr>
          <w:rFonts w:hint="eastAsia" w:ascii="仿宋" w:hAnsi="仿宋" w:eastAsia="仿宋"/>
          <w:sz w:val="28"/>
          <w:szCs w:val="28"/>
        </w:rPr>
        <w:t>交换、租赁</w:t>
      </w:r>
      <w:r>
        <w:rPr>
          <w:rFonts w:ascii="仿宋" w:hAnsi="仿宋" w:eastAsia="仿宋"/>
          <w:sz w:val="28"/>
          <w:szCs w:val="28"/>
        </w:rPr>
        <w:t>等方式建立社区日间照料机构。</w:t>
      </w:r>
      <w:r>
        <w:rPr>
          <w:rFonts w:hint="eastAsia" w:ascii="仿宋" w:hAnsi="仿宋" w:eastAsia="仿宋"/>
          <w:sz w:val="28"/>
          <w:szCs w:val="28"/>
        </w:rPr>
        <w:t>打造康复辅助器具网上商城和在线监管平台，建设康复辅助器具租赁展示中心和20个康复辅助器具社区租赁服务点，加大康复辅助器具购置投入，建成“一中心、二十点位”康复辅助器具社区租赁服务体系，提升老年人家庭居家照护能力。鼓励和支持各类企业、社会组织和个人从事社区养老服务、统筹社区范围内的各类养老服务机构、医疗卫生服务机构、社会工作服务机构、志愿服务组织和服务性企业</w:t>
      </w:r>
      <w:r>
        <w:rPr>
          <w:rFonts w:ascii="仿宋" w:hAnsi="仿宋" w:eastAsia="仿宋"/>
          <w:sz w:val="28"/>
          <w:szCs w:val="28"/>
        </w:rPr>
        <w:t>,提高社区居家养老</w:t>
      </w:r>
      <w:r>
        <w:rPr>
          <w:rFonts w:hint="eastAsia" w:ascii="仿宋" w:hAnsi="仿宋" w:eastAsia="仿宋"/>
          <w:sz w:val="28"/>
          <w:szCs w:val="28"/>
        </w:rPr>
        <w:t>服务能力和质量。</w:t>
      </w:r>
    </w:p>
    <w:p>
      <w:pPr>
        <w:spacing w:line="360" w:lineRule="auto"/>
        <w:ind w:firstLine="560" w:firstLineChars="200"/>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)社会互助养</w:t>
      </w:r>
      <w:r>
        <w:rPr>
          <w:rFonts w:hint="eastAsia" w:ascii="仿宋" w:hAnsi="仿宋" w:eastAsia="仿宋"/>
          <w:sz w:val="28"/>
          <w:szCs w:val="28"/>
        </w:rPr>
        <w:t>老。</w:t>
      </w:r>
      <w:r>
        <w:rPr>
          <w:rFonts w:ascii="仿宋" w:hAnsi="仿宋" w:eastAsia="仿宋"/>
          <w:sz w:val="28"/>
          <w:szCs w:val="28"/>
        </w:rPr>
        <w:t>大力支持农村互助型养</w:t>
      </w:r>
      <w:r>
        <w:rPr>
          <w:rFonts w:hint="eastAsia" w:ascii="仿宋" w:hAnsi="仿宋" w:eastAsia="仿宋"/>
          <w:sz w:val="28"/>
          <w:szCs w:val="28"/>
        </w:rPr>
        <w:t>老</w:t>
      </w:r>
      <w:r>
        <w:rPr>
          <w:rFonts w:ascii="仿宋" w:hAnsi="仿宋" w:eastAsia="仿宋"/>
          <w:sz w:val="28"/>
          <w:szCs w:val="28"/>
        </w:rPr>
        <w:t>服务设施建设,发挥村民自治组织作用,积极</w:t>
      </w:r>
      <w:r>
        <w:rPr>
          <w:rFonts w:hint="eastAsia" w:ascii="仿宋" w:hAnsi="仿宋" w:eastAsia="仿宋"/>
          <w:sz w:val="28"/>
          <w:szCs w:val="28"/>
        </w:rPr>
        <w:t>动员村民和社会力量参与运营服务</w:t>
      </w:r>
      <w:r>
        <w:rPr>
          <w:rFonts w:ascii="仿宋" w:hAnsi="仿宋" w:eastAsia="仿宋"/>
          <w:sz w:val="28"/>
          <w:szCs w:val="28"/>
        </w:rPr>
        <w:t>,为农村老年人就地提供就餐服务、生活照顾、日间休息、</w:t>
      </w:r>
      <w:r>
        <w:rPr>
          <w:rFonts w:hint="eastAsia" w:ascii="仿宋" w:hAnsi="仿宋" w:eastAsia="仿宋"/>
          <w:sz w:val="28"/>
          <w:szCs w:val="28"/>
        </w:rPr>
        <w:t>休闲娱乐等综合性日间照料服务、鼓励城市社区老年人参加各类志愿服务组织和社区邻里互助</w:t>
      </w:r>
      <w:r>
        <w:rPr>
          <w:rFonts w:ascii="仿宋" w:hAnsi="仿宋" w:eastAsia="仿宋"/>
          <w:sz w:val="28"/>
          <w:szCs w:val="28"/>
        </w:rPr>
        <w:t>,开展自助互助养老活动。加强基层老年协会建设,组织开展各类老年人文化娱乐活动。</w:t>
      </w:r>
    </w:p>
    <w:p>
      <w:pPr>
        <w:spacing w:line="360" w:lineRule="auto"/>
        <w:ind w:firstLine="560" w:firstLineChars="200"/>
        <w:rPr>
          <w:rFonts w:ascii="仿宋" w:hAnsi="仿宋" w:eastAsia="仿宋"/>
          <w:sz w:val="28"/>
          <w:szCs w:val="28"/>
        </w:rPr>
      </w:pPr>
      <w:r>
        <w:rPr>
          <w:rFonts w:ascii="仿宋" w:hAnsi="仿宋" w:eastAsia="仿宋"/>
          <w:sz w:val="28"/>
          <w:szCs w:val="28"/>
        </w:rPr>
        <w:t>7.</w:t>
      </w:r>
      <w:r>
        <w:rPr>
          <w:rFonts w:hint="eastAsia" w:ascii="仿宋" w:hAnsi="仿宋" w:eastAsia="仿宋"/>
          <w:sz w:val="28"/>
          <w:szCs w:val="28"/>
        </w:rPr>
        <w:t>深化养老服务供给侧改革</w:t>
      </w:r>
      <w:r>
        <w:rPr>
          <w:rFonts w:ascii="仿宋" w:hAnsi="仿宋" w:eastAsia="仿宋"/>
          <w:sz w:val="28"/>
          <w:szCs w:val="28"/>
        </w:rPr>
        <w:t>,积极支持社会力量举办养老机构,办好公办保障性养老机构,深化</w:t>
      </w:r>
      <w:r>
        <w:rPr>
          <w:rFonts w:hint="eastAsia" w:ascii="仿宋" w:hAnsi="仿宋" w:eastAsia="仿宋"/>
          <w:sz w:val="28"/>
          <w:szCs w:val="28"/>
        </w:rPr>
        <w:t>公办养老机构改革</w:t>
      </w:r>
      <w:r>
        <w:rPr>
          <w:rFonts w:ascii="仿宋" w:hAnsi="仿宋" w:eastAsia="仿宋"/>
          <w:sz w:val="28"/>
          <w:szCs w:val="28"/>
        </w:rPr>
        <w:t>,重点发展医养结合</w:t>
      </w:r>
      <w:r>
        <w:rPr>
          <w:rFonts w:hint="eastAsia" w:ascii="仿宋" w:hAnsi="仿宋" w:eastAsia="仿宋"/>
          <w:sz w:val="28"/>
          <w:szCs w:val="28"/>
        </w:rPr>
        <w:t>型</w:t>
      </w:r>
      <w:r>
        <w:rPr>
          <w:rFonts w:ascii="仿宋" w:hAnsi="仿宋" w:eastAsia="仿宋"/>
          <w:sz w:val="28"/>
          <w:szCs w:val="28"/>
        </w:rPr>
        <w:t>养老机构,增加养护</w:t>
      </w:r>
      <w:r>
        <w:rPr>
          <w:rFonts w:hint="eastAsia" w:ascii="仿宋" w:hAnsi="仿宋" w:eastAsia="仿宋"/>
          <w:sz w:val="28"/>
          <w:szCs w:val="28"/>
        </w:rPr>
        <w:t>型</w:t>
      </w:r>
      <w:r>
        <w:rPr>
          <w:rFonts w:ascii="仿宋" w:hAnsi="仿宋" w:eastAsia="仿宋"/>
          <w:sz w:val="28"/>
          <w:szCs w:val="28"/>
        </w:rPr>
        <w:t>、医护</w:t>
      </w:r>
      <w:r>
        <w:rPr>
          <w:rFonts w:hint="eastAsia" w:ascii="仿宋" w:hAnsi="仿宋" w:eastAsia="仿宋"/>
          <w:sz w:val="28"/>
          <w:szCs w:val="28"/>
        </w:rPr>
        <w:t>型</w:t>
      </w:r>
      <w:r>
        <w:rPr>
          <w:rFonts w:ascii="仿宋" w:hAnsi="仿宋" w:eastAsia="仿宋"/>
          <w:sz w:val="28"/>
          <w:szCs w:val="28"/>
        </w:rPr>
        <w:t>养老床位,提高养老</w:t>
      </w:r>
      <w:r>
        <w:rPr>
          <w:rFonts w:hint="eastAsia" w:ascii="仿宋" w:hAnsi="仿宋" w:eastAsia="仿宋"/>
          <w:sz w:val="28"/>
          <w:szCs w:val="28"/>
        </w:rPr>
        <w:t>服务有效供给</w:t>
      </w:r>
      <w:r>
        <w:rPr>
          <w:rFonts w:ascii="仿宋" w:hAnsi="仿宋" w:eastAsia="仿宋"/>
          <w:sz w:val="28"/>
          <w:szCs w:val="28"/>
        </w:rPr>
        <w:t>,到2025年每</w:t>
      </w:r>
      <w:r>
        <w:rPr>
          <w:rFonts w:hint="eastAsia" w:ascii="仿宋" w:hAnsi="仿宋" w:eastAsia="仿宋"/>
          <w:sz w:val="28"/>
          <w:szCs w:val="28"/>
        </w:rPr>
        <w:t>千</w:t>
      </w:r>
      <w:r>
        <w:rPr>
          <w:rFonts w:ascii="仿宋" w:hAnsi="仿宋" w:eastAsia="仿宋"/>
          <w:sz w:val="28"/>
          <w:szCs w:val="28"/>
        </w:rPr>
        <w:t>名老年人口拥有养老床位数达到50张,其中护理型床位比</w:t>
      </w:r>
      <w:r>
        <w:rPr>
          <w:rFonts w:hint="eastAsia" w:ascii="仿宋" w:hAnsi="仿宋" w:eastAsia="仿宋"/>
          <w:sz w:val="28"/>
          <w:szCs w:val="28"/>
        </w:rPr>
        <w:t>例不低于</w:t>
      </w:r>
      <w:r>
        <w:rPr>
          <w:rFonts w:ascii="仿宋" w:hAnsi="仿宋" w:eastAsia="仿宋"/>
          <w:sz w:val="28"/>
          <w:szCs w:val="28"/>
        </w:rPr>
        <w:t>50</w:t>
      </w:r>
      <w:r>
        <w:rPr>
          <w:rFonts w:hint="eastAsia" w:ascii="仿宋" w:hAnsi="仿宋" w:eastAsia="仿宋"/>
          <w:sz w:val="28"/>
          <w:szCs w:val="28"/>
        </w:rPr>
        <w:t>%</w:t>
      </w:r>
      <w:r>
        <w:rPr>
          <w:rFonts w:ascii="仿宋" w:hAnsi="仿宋" w:eastAsia="仿宋"/>
          <w:sz w:val="28"/>
          <w:szCs w:val="28"/>
        </w:rPr>
        <w:t>。</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社会</w:t>
      </w:r>
      <w:r>
        <w:rPr>
          <w:rFonts w:hint="eastAsia" w:ascii="仿宋" w:hAnsi="仿宋" w:eastAsia="仿宋"/>
          <w:sz w:val="28"/>
          <w:szCs w:val="28"/>
        </w:rPr>
        <w:t>力量</w:t>
      </w:r>
      <w:r>
        <w:rPr>
          <w:rFonts w:ascii="仿宋" w:hAnsi="仿宋" w:eastAsia="仿宋"/>
          <w:sz w:val="28"/>
          <w:szCs w:val="28"/>
        </w:rPr>
        <w:t>参与。通过补助投资、贷款补贴、运营补贴、购买服务等方式,支持社会力</w:t>
      </w:r>
      <w:r>
        <w:rPr>
          <w:rFonts w:hint="eastAsia" w:ascii="仿宋" w:hAnsi="仿宋" w:eastAsia="仿宋"/>
          <w:sz w:val="28"/>
          <w:szCs w:val="28"/>
        </w:rPr>
        <w:t>量建设养老服务机构</w:t>
      </w:r>
      <w:r>
        <w:rPr>
          <w:rFonts w:ascii="仿宋" w:hAnsi="仿宋" w:eastAsia="仿宋"/>
          <w:sz w:val="28"/>
          <w:szCs w:val="28"/>
        </w:rPr>
        <w:t>,重点鼓励社会力量投资兴办面向失能、失智、高龄老年人的医养结合型养</w:t>
      </w:r>
      <w:r>
        <w:rPr>
          <w:rFonts w:hint="eastAsia" w:ascii="仿宋" w:hAnsi="仿宋" w:eastAsia="仿宋"/>
          <w:sz w:val="28"/>
          <w:szCs w:val="28"/>
        </w:rPr>
        <w:t>老机构和养护型、医护型养老床位。落实好社会兴办养老机构在资本、用工、税费、土地等方面优惠政策。支持境外资本投资养老服务业。鼓励民间资本对企业厂房、商业设施及其他可利用的社会资源进行整合和改造</w:t>
      </w:r>
      <w:r>
        <w:rPr>
          <w:rFonts w:ascii="仿宋" w:hAnsi="仿宋" w:eastAsia="仿宋"/>
          <w:sz w:val="28"/>
          <w:szCs w:val="28"/>
        </w:rPr>
        <w:t>,用于养老服务。</w:t>
      </w:r>
    </w:p>
    <w:p>
      <w:pPr>
        <w:spacing w:line="360" w:lineRule="auto"/>
        <w:ind w:firstLine="560" w:firstLineChars="200"/>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2</w:t>
      </w:r>
      <w:r>
        <w:rPr>
          <w:rFonts w:ascii="仿宋" w:hAnsi="仿宋" w:eastAsia="仿宋"/>
          <w:sz w:val="28"/>
          <w:szCs w:val="28"/>
        </w:rPr>
        <w:t>)公办养老机构建设。加大财政投入,加强公办保障性养老机构建设。坚持建设标准适</w:t>
      </w:r>
      <w:r>
        <w:rPr>
          <w:rFonts w:hint="eastAsia" w:ascii="仿宋" w:hAnsi="仿宋" w:eastAsia="仿宋"/>
          <w:sz w:val="28"/>
          <w:szCs w:val="28"/>
        </w:rPr>
        <w:t>度</w:t>
      </w:r>
      <w:r>
        <w:rPr>
          <w:rFonts w:ascii="仿宋" w:hAnsi="仿宋" w:eastAsia="仿宋"/>
          <w:sz w:val="28"/>
          <w:szCs w:val="28"/>
        </w:rPr>
        <w:t>,</w:t>
      </w:r>
      <w:r>
        <w:rPr>
          <w:rFonts w:hint="eastAsia" w:ascii="仿宋" w:hAnsi="仿宋" w:eastAsia="仿宋"/>
          <w:sz w:val="28"/>
          <w:szCs w:val="28"/>
        </w:rPr>
        <w:t>避免铺张</w:t>
      </w:r>
      <w:r>
        <w:rPr>
          <w:rFonts w:ascii="仿宋" w:hAnsi="仿宋" w:eastAsia="仿宋"/>
          <w:sz w:val="28"/>
          <w:szCs w:val="28"/>
        </w:rPr>
        <w:t>豪华,充分</w:t>
      </w:r>
      <w:r>
        <w:rPr>
          <w:rFonts w:hint="eastAsia" w:ascii="仿宋" w:hAnsi="仿宋" w:eastAsia="仿宋"/>
          <w:sz w:val="28"/>
          <w:szCs w:val="28"/>
        </w:rPr>
        <w:t>发挥</w:t>
      </w:r>
      <w:r>
        <w:rPr>
          <w:rFonts w:ascii="仿宋" w:hAnsi="仿宋" w:eastAsia="仿宋"/>
          <w:sz w:val="28"/>
          <w:szCs w:val="28"/>
        </w:rPr>
        <w:t>公办养老机构托底作用。探索建立公办养老机构入住评估制度,</w:t>
      </w:r>
      <w:r>
        <w:rPr>
          <w:rFonts w:hint="eastAsia" w:ascii="仿宋" w:hAnsi="仿宋" w:eastAsia="仿宋"/>
          <w:sz w:val="28"/>
          <w:szCs w:val="28"/>
        </w:rPr>
        <w:t>重点保障特困人员中的老年人、经济困难老年人、失独家庭老年人和做出特殊贡献的老年人等养老需求。加强农村特困人员供养机构建设</w:t>
      </w:r>
      <w:r>
        <w:rPr>
          <w:rFonts w:ascii="仿宋" w:hAnsi="仿宋" w:eastAsia="仿宋"/>
          <w:sz w:val="28"/>
          <w:szCs w:val="28"/>
        </w:rPr>
        <w:t>,</w:t>
      </w:r>
      <w:r>
        <w:rPr>
          <w:rFonts w:hint="eastAsia" w:ascii="仿宋" w:hAnsi="仿宋" w:eastAsia="仿宋"/>
          <w:sz w:val="28"/>
          <w:szCs w:val="28"/>
        </w:rPr>
        <w:t>强化</w:t>
      </w:r>
      <w:r>
        <w:rPr>
          <w:rFonts w:ascii="仿宋" w:hAnsi="仿宋" w:eastAsia="仿宋"/>
          <w:sz w:val="28"/>
          <w:szCs w:val="28"/>
        </w:rPr>
        <w:t>托底保障功能,在</w:t>
      </w:r>
      <w:r>
        <w:rPr>
          <w:rFonts w:hint="eastAsia" w:ascii="仿宋" w:hAnsi="仿宋" w:eastAsia="仿宋"/>
          <w:sz w:val="28"/>
          <w:szCs w:val="28"/>
        </w:rPr>
        <w:t>满足</w:t>
      </w:r>
      <w:r>
        <w:rPr>
          <w:rFonts w:ascii="仿宋" w:hAnsi="仿宋" w:eastAsia="仿宋"/>
          <w:sz w:val="28"/>
          <w:szCs w:val="28"/>
        </w:rPr>
        <w:t>农村特</w:t>
      </w:r>
      <w:r>
        <w:rPr>
          <w:rFonts w:hint="eastAsia" w:ascii="仿宋" w:hAnsi="仿宋" w:eastAsia="仿宋"/>
          <w:sz w:val="28"/>
          <w:szCs w:val="28"/>
        </w:rPr>
        <w:t>困</w:t>
      </w:r>
      <w:r>
        <w:rPr>
          <w:rFonts w:ascii="仿宋" w:hAnsi="仿宋" w:eastAsia="仿宋"/>
          <w:sz w:val="28"/>
          <w:szCs w:val="28"/>
        </w:rPr>
        <w:t>人员集中供</w:t>
      </w:r>
      <w:r>
        <w:rPr>
          <w:rFonts w:hint="eastAsia" w:ascii="仿宋" w:hAnsi="仿宋" w:eastAsia="仿宋"/>
          <w:sz w:val="28"/>
          <w:szCs w:val="28"/>
        </w:rPr>
        <w:t>养服务需求的前提下</w:t>
      </w:r>
      <w:r>
        <w:rPr>
          <w:rFonts w:ascii="仿宋" w:hAnsi="仿宋" w:eastAsia="仿宋"/>
          <w:sz w:val="28"/>
          <w:szCs w:val="28"/>
        </w:rPr>
        <w:t>,鼓励、支持有条件的机构积极为农村其他老年人提供养老服务。</w:t>
      </w:r>
    </w:p>
    <w:p>
      <w:pPr>
        <w:spacing w:line="360" w:lineRule="auto"/>
        <w:ind w:firstLine="560" w:firstLineChars="200"/>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)公办养</w:t>
      </w:r>
      <w:r>
        <w:rPr>
          <w:rFonts w:hint="eastAsia" w:ascii="仿宋" w:hAnsi="仿宋" w:eastAsia="仿宋"/>
          <w:sz w:val="28"/>
          <w:szCs w:val="28"/>
        </w:rPr>
        <w:t>老</w:t>
      </w:r>
      <w:r>
        <w:rPr>
          <w:rFonts w:ascii="仿宋" w:hAnsi="仿宋" w:eastAsia="仿宋"/>
          <w:sz w:val="28"/>
          <w:szCs w:val="28"/>
        </w:rPr>
        <w:t>机构改革。建立健全“公建民营</w:t>
      </w:r>
      <w:r>
        <w:rPr>
          <w:rFonts w:hint="eastAsia" w:ascii="仿宋" w:hAnsi="仿宋" w:eastAsia="仿宋"/>
          <w:sz w:val="28"/>
          <w:szCs w:val="28"/>
        </w:rPr>
        <w:t>”</w:t>
      </w:r>
      <w:r>
        <w:rPr>
          <w:rFonts w:ascii="仿宋" w:hAnsi="仿宋" w:eastAsia="仿宋"/>
          <w:sz w:val="28"/>
          <w:szCs w:val="28"/>
        </w:rPr>
        <w:t>管理办法,加大公办养老机构实行“公建民</w:t>
      </w:r>
      <w:r>
        <w:rPr>
          <w:rFonts w:hint="eastAsia" w:ascii="仿宋" w:hAnsi="仿宋" w:eastAsia="仿宋"/>
          <w:sz w:val="28"/>
          <w:szCs w:val="28"/>
        </w:rPr>
        <w:t>营”试点工作力度。鼓励政府投资新建、改建、购置的养老服务设施</w:t>
      </w:r>
      <w:r>
        <w:rPr>
          <w:rFonts w:ascii="仿宋" w:hAnsi="仿宋" w:eastAsia="仿宋"/>
          <w:sz w:val="28"/>
          <w:szCs w:val="28"/>
        </w:rPr>
        <w:t>,新建居民区按规定配建</w:t>
      </w:r>
      <w:r>
        <w:rPr>
          <w:rFonts w:hint="eastAsia" w:ascii="仿宋" w:hAnsi="仿宋" w:eastAsia="仿宋"/>
          <w:sz w:val="28"/>
          <w:szCs w:val="28"/>
        </w:rPr>
        <w:t>并移交给民政部门管理的养老设施，</w:t>
      </w:r>
      <w:r>
        <w:rPr>
          <w:rFonts w:ascii="仿宋" w:hAnsi="仿宋" w:eastAsia="仿宋"/>
          <w:sz w:val="28"/>
          <w:szCs w:val="28"/>
        </w:rPr>
        <w:t>采取“公建民营</w:t>
      </w:r>
      <w:r>
        <w:rPr>
          <w:rFonts w:hint="eastAsia" w:ascii="仿宋" w:hAnsi="仿宋" w:eastAsia="仿宋"/>
          <w:sz w:val="28"/>
          <w:szCs w:val="28"/>
        </w:rPr>
        <w:t>”</w:t>
      </w:r>
      <w:r>
        <w:rPr>
          <w:rFonts w:ascii="仿宋" w:hAnsi="仿宋" w:eastAsia="仿宋"/>
          <w:sz w:val="28"/>
          <w:szCs w:val="28"/>
        </w:rPr>
        <w:t>等方式</w:t>
      </w:r>
      <w:r>
        <w:rPr>
          <w:rFonts w:hint="eastAsia" w:ascii="仿宋" w:hAnsi="仿宋" w:eastAsia="仿宋"/>
          <w:sz w:val="28"/>
          <w:szCs w:val="28"/>
        </w:rPr>
        <w:t>，</w:t>
      </w:r>
      <w:r>
        <w:rPr>
          <w:rFonts w:ascii="仿宋" w:hAnsi="仿宋" w:eastAsia="仿宋"/>
          <w:sz w:val="28"/>
          <w:szCs w:val="28"/>
        </w:rPr>
        <w:t>进行社会化运作。实行“公建</w:t>
      </w:r>
      <w:r>
        <w:rPr>
          <w:rFonts w:hint="eastAsia" w:ascii="仿宋" w:hAnsi="仿宋" w:eastAsia="仿宋"/>
          <w:sz w:val="28"/>
          <w:szCs w:val="28"/>
        </w:rPr>
        <w:t>民营”的养老机构</w:t>
      </w:r>
      <w:r>
        <w:rPr>
          <w:rFonts w:ascii="仿宋" w:hAnsi="仿宋" w:eastAsia="仿宋"/>
          <w:sz w:val="28"/>
          <w:szCs w:val="28"/>
        </w:rPr>
        <w:t>,</w:t>
      </w:r>
      <w:r>
        <w:rPr>
          <w:rFonts w:hint="eastAsia" w:ascii="仿宋" w:hAnsi="仿宋" w:eastAsia="仿宋"/>
          <w:sz w:val="28"/>
          <w:szCs w:val="28"/>
        </w:rPr>
        <w:t>在</w:t>
      </w:r>
      <w:r>
        <w:rPr>
          <w:rFonts w:ascii="仿宋" w:hAnsi="仿宋" w:eastAsia="仿宋"/>
          <w:sz w:val="28"/>
          <w:szCs w:val="28"/>
        </w:rPr>
        <w:t>优先接收有入住需求的养老服务保障对象</w:t>
      </w:r>
      <w:r>
        <w:rPr>
          <w:rFonts w:hint="eastAsia" w:ascii="仿宋" w:hAnsi="仿宋" w:eastAsia="仿宋"/>
          <w:sz w:val="28"/>
          <w:szCs w:val="28"/>
        </w:rPr>
        <w:t>的</w:t>
      </w:r>
      <w:r>
        <w:rPr>
          <w:rFonts w:ascii="仿宋" w:hAnsi="仿宋" w:eastAsia="仿宋"/>
          <w:sz w:val="28"/>
          <w:szCs w:val="28"/>
        </w:rPr>
        <w:t>基础上,闲置床位全部向失能</w:t>
      </w:r>
      <w:r>
        <w:rPr>
          <w:rFonts w:hint="eastAsia" w:ascii="仿宋" w:hAnsi="仿宋" w:eastAsia="仿宋"/>
          <w:sz w:val="28"/>
          <w:szCs w:val="28"/>
        </w:rPr>
        <w:t>或高龄社会老年人开放</w:t>
      </w:r>
      <w:r>
        <w:rPr>
          <w:rFonts w:ascii="仿宋" w:hAnsi="仿宋" w:eastAsia="仿宋"/>
          <w:sz w:val="28"/>
          <w:szCs w:val="28"/>
        </w:rPr>
        <w:t>,确保继续履行公益职能、确保资产安全。鼓励公办养老机构实行服务</w:t>
      </w:r>
      <w:r>
        <w:rPr>
          <w:rFonts w:hint="eastAsia" w:ascii="仿宋" w:hAnsi="仿宋" w:eastAsia="仿宋"/>
          <w:sz w:val="28"/>
          <w:szCs w:val="28"/>
        </w:rPr>
        <w:t>外包</w:t>
      </w:r>
      <w:r>
        <w:rPr>
          <w:rFonts w:ascii="仿宋" w:hAnsi="仿宋" w:eastAsia="仿宋"/>
          <w:sz w:val="28"/>
          <w:szCs w:val="28"/>
        </w:rPr>
        <w:t>,更好地为入住</w:t>
      </w:r>
      <w:r>
        <w:rPr>
          <w:rFonts w:hint="eastAsia" w:ascii="仿宋" w:hAnsi="仿宋" w:eastAsia="仿宋"/>
          <w:sz w:val="28"/>
          <w:szCs w:val="28"/>
        </w:rPr>
        <w:t>老</w:t>
      </w:r>
      <w:r>
        <w:rPr>
          <w:rFonts w:ascii="仿宋" w:hAnsi="仿宋" w:eastAsia="仿宋"/>
          <w:sz w:val="28"/>
          <w:szCs w:val="28"/>
        </w:rPr>
        <w:t>年人提供优质、安全、便利服务。</w:t>
      </w:r>
    </w:p>
    <w:p>
      <w:pPr>
        <w:spacing w:line="360" w:lineRule="auto"/>
        <w:ind w:firstLine="560" w:firstLineChars="200"/>
        <w:rPr>
          <w:rFonts w:ascii="仿宋" w:hAnsi="仿宋" w:eastAsia="仿宋"/>
          <w:sz w:val="28"/>
          <w:szCs w:val="28"/>
        </w:rPr>
      </w:pPr>
      <w:r>
        <w:rPr>
          <w:rFonts w:ascii="仿宋" w:hAnsi="仿宋" w:eastAsia="仿宋"/>
          <w:sz w:val="28"/>
          <w:szCs w:val="28"/>
        </w:rPr>
        <w:t>8.</w:t>
      </w:r>
      <w:r>
        <w:rPr>
          <w:rFonts w:hint="eastAsia" w:ascii="仿宋" w:hAnsi="仿宋" w:eastAsia="仿宋"/>
          <w:sz w:val="28"/>
          <w:szCs w:val="28"/>
        </w:rPr>
        <w:t>探索建立长期照护保障体系，推动普遍建立经济困难老年人养老服务补贴、高龄津贴和护理补贴制度。鼓励有条件的地方开展政策性长期护理保险试点</w:t>
      </w:r>
      <w:r>
        <w:rPr>
          <w:rFonts w:ascii="仿宋" w:hAnsi="仿宋" w:eastAsia="仿宋"/>
          <w:sz w:val="28"/>
          <w:szCs w:val="28"/>
        </w:rPr>
        <w:t>,推广长期护理商业保险产品。建立健全长期照护项目内涵、服务</w:t>
      </w:r>
      <w:r>
        <w:rPr>
          <w:rFonts w:hint="eastAsia" w:ascii="仿宋" w:hAnsi="仿宋" w:eastAsia="仿宋"/>
          <w:sz w:val="28"/>
          <w:szCs w:val="28"/>
        </w:rPr>
        <w:t>标准、质量评价等行业规范和体制机制</w:t>
      </w:r>
      <w:r>
        <w:rPr>
          <w:rFonts w:ascii="仿宋" w:hAnsi="仿宋" w:eastAsia="仿宋"/>
          <w:sz w:val="28"/>
          <w:szCs w:val="28"/>
        </w:rPr>
        <w:t>,探索建立从居家、社区到专业机构等比较健全的专业</w:t>
      </w:r>
      <w:r>
        <w:rPr>
          <w:rFonts w:hint="eastAsia" w:ascii="仿宋" w:hAnsi="仿宋" w:eastAsia="仿宋"/>
          <w:sz w:val="28"/>
          <w:szCs w:val="28"/>
        </w:rPr>
        <w:t>照护服务体系</w:t>
      </w:r>
      <w:r>
        <w:rPr>
          <w:rFonts w:ascii="仿宋" w:hAnsi="仿宋" w:eastAsia="仿宋"/>
          <w:sz w:val="28"/>
          <w:szCs w:val="28"/>
        </w:rPr>
        <w:t>,保障老年人长期护理服务需求。</w:t>
      </w:r>
    </w:p>
    <w:p>
      <w:pPr>
        <w:spacing w:line="360" w:lineRule="auto"/>
        <w:ind w:firstLine="560" w:firstLineChars="200"/>
        <w:rPr>
          <w:rFonts w:ascii="仿宋" w:hAnsi="仿宋" w:eastAsia="仿宋"/>
          <w:sz w:val="28"/>
          <w:szCs w:val="28"/>
        </w:rPr>
      </w:pPr>
      <w:r>
        <w:rPr>
          <w:rFonts w:ascii="仿宋" w:hAnsi="仿宋" w:eastAsia="仿宋"/>
          <w:sz w:val="28"/>
          <w:szCs w:val="28"/>
        </w:rPr>
        <w:t>9</w:t>
      </w:r>
      <w:r>
        <w:rPr>
          <w:rFonts w:hint="eastAsia" w:ascii="仿宋" w:hAnsi="仿宋" w:eastAsia="仿宋"/>
          <w:sz w:val="28"/>
          <w:szCs w:val="28"/>
        </w:rPr>
        <w:t>.</w:t>
      </w:r>
      <w:r>
        <w:rPr>
          <w:rFonts w:ascii="仿宋" w:hAnsi="仿宋" w:eastAsia="仿宋"/>
          <w:sz w:val="28"/>
          <w:szCs w:val="28"/>
        </w:rPr>
        <w:t>社会养老服务体系建设工程</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养老服务体系建设工程</w:t>
      </w:r>
      <w:r>
        <w:rPr>
          <w:rFonts w:hint="eastAsia" w:ascii="仿宋" w:hAnsi="仿宋" w:eastAsia="仿宋"/>
          <w:sz w:val="28"/>
          <w:szCs w:val="28"/>
        </w:rPr>
        <w:t>，通过新建和改扩建等方式</w:t>
      </w:r>
      <w:r>
        <w:rPr>
          <w:rFonts w:ascii="仿宋" w:hAnsi="仿宋" w:eastAsia="仿宋"/>
          <w:sz w:val="28"/>
          <w:szCs w:val="28"/>
        </w:rPr>
        <w:t>,加大主要面向失能老年人的老年养护院、</w:t>
      </w:r>
      <w:r>
        <w:rPr>
          <w:rFonts w:hint="eastAsia" w:ascii="仿宋" w:hAnsi="仿宋" w:eastAsia="仿宋"/>
          <w:sz w:val="28"/>
          <w:szCs w:val="28"/>
        </w:rPr>
        <w:t>农村特困人员供养机构建设</w:t>
      </w:r>
      <w:r>
        <w:rPr>
          <w:rFonts w:ascii="仿宋" w:hAnsi="仿宋" w:eastAsia="仿宋"/>
          <w:sz w:val="28"/>
          <w:szCs w:val="28"/>
        </w:rPr>
        <w:t>,以及医养结合设施建设,到2025年实现每千名老年人拥有</w:t>
      </w:r>
      <w:r>
        <w:rPr>
          <w:rFonts w:hint="eastAsia" w:ascii="仿宋" w:hAnsi="仿宋" w:eastAsia="仿宋"/>
          <w:sz w:val="28"/>
          <w:szCs w:val="28"/>
        </w:rPr>
        <w:t>养老床位数达到</w:t>
      </w:r>
      <w:r>
        <w:rPr>
          <w:rFonts w:ascii="仿宋" w:hAnsi="仿宋" w:eastAsia="仿宋"/>
          <w:sz w:val="28"/>
          <w:szCs w:val="28"/>
        </w:rPr>
        <w:t>50张、加大医护型、养护型</w:t>
      </w:r>
      <w:r>
        <w:rPr>
          <w:rFonts w:hint="eastAsia" w:ascii="仿宋" w:hAnsi="仿宋" w:eastAsia="仿宋"/>
          <w:sz w:val="28"/>
          <w:szCs w:val="28"/>
        </w:rPr>
        <w:t>床位</w:t>
      </w:r>
      <w:r>
        <w:rPr>
          <w:rFonts w:ascii="仿宋" w:hAnsi="仿宋" w:eastAsia="仿宋"/>
          <w:sz w:val="28"/>
          <w:szCs w:val="28"/>
        </w:rPr>
        <w:t>供给,实现护理型机构床位在机构床位数</w:t>
      </w:r>
      <w:r>
        <w:rPr>
          <w:rFonts w:hint="eastAsia" w:ascii="仿宋" w:hAnsi="仿宋" w:eastAsia="仿宋"/>
          <w:sz w:val="28"/>
          <w:szCs w:val="28"/>
        </w:rPr>
        <w:t>的占比达到</w:t>
      </w:r>
      <w:r>
        <w:rPr>
          <w:rFonts w:ascii="仿宋" w:hAnsi="仿宋" w:eastAsia="仿宋"/>
          <w:sz w:val="28"/>
          <w:szCs w:val="28"/>
        </w:rPr>
        <w:t>55%以上。推动养老机构配备完善基本生活护理、医疗、康复辅</w:t>
      </w:r>
      <w:r>
        <w:rPr>
          <w:rFonts w:hint="eastAsia" w:ascii="仿宋" w:hAnsi="仿宋" w:eastAsia="仿宋"/>
          <w:sz w:val="28"/>
          <w:szCs w:val="28"/>
        </w:rPr>
        <w:t>具</w:t>
      </w:r>
      <w:r>
        <w:rPr>
          <w:rFonts w:ascii="仿宋" w:hAnsi="仿宋" w:eastAsia="仿宋"/>
          <w:sz w:val="28"/>
          <w:szCs w:val="28"/>
        </w:rPr>
        <w:t>等专业设备,</w:t>
      </w:r>
      <w:r>
        <w:rPr>
          <w:rFonts w:hint="eastAsia" w:ascii="仿宋" w:hAnsi="仿宋" w:eastAsia="仿宋"/>
          <w:sz w:val="28"/>
          <w:szCs w:val="28"/>
        </w:rPr>
        <w:t>改善设施条件</w:t>
      </w:r>
      <w:r>
        <w:rPr>
          <w:rFonts w:ascii="仿宋" w:hAnsi="仿宋" w:eastAsia="仿宋"/>
          <w:sz w:val="28"/>
          <w:szCs w:val="28"/>
        </w:rPr>
        <w:t>,提高服务能力和质量</w:t>
      </w:r>
      <w:r>
        <w:rPr>
          <w:rFonts w:hint="eastAsia" w:ascii="仿宋" w:hAnsi="仿宋" w:eastAsia="仿宋"/>
          <w:sz w:val="28"/>
          <w:szCs w:val="28"/>
        </w:rPr>
        <w:t>。</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养老服务信息化建设工程</w:t>
      </w:r>
      <w:r>
        <w:rPr>
          <w:rFonts w:hint="eastAsia" w:ascii="仿宋" w:hAnsi="仿宋" w:eastAsia="仿宋"/>
          <w:sz w:val="28"/>
          <w:szCs w:val="28"/>
        </w:rPr>
        <w:t>，推行“互联网</w:t>
      </w:r>
      <w:r>
        <w:rPr>
          <w:rFonts w:ascii="仿宋" w:hAnsi="仿宋" w:eastAsia="仿宋"/>
          <w:sz w:val="28"/>
          <w:szCs w:val="28"/>
        </w:rPr>
        <w:t>+养老</w:t>
      </w:r>
      <w:r>
        <w:rPr>
          <w:rFonts w:hint="eastAsia" w:ascii="仿宋" w:hAnsi="仿宋" w:eastAsia="仿宋"/>
          <w:sz w:val="28"/>
          <w:szCs w:val="28"/>
        </w:rPr>
        <w:t>”</w:t>
      </w:r>
      <w:r>
        <w:rPr>
          <w:rFonts w:ascii="仿宋" w:hAnsi="仿宋" w:eastAsia="仿宋"/>
          <w:sz w:val="28"/>
          <w:szCs w:val="28"/>
        </w:rPr>
        <w:t>,加快社区居家养老信息网络建设,依托现有互联网基础设施,构建居</w:t>
      </w:r>
      <w:r>
        <w:rPr>
          <w:rFonts w:hint="eastAsia" w:ascii="仿宋" w:hAnsi="仿宋" w:eastAsia="仿宋"/>
          <w:sz w:val="28"/>
          <w:szCs w:val="28"/>
        </w:rPr>
        <w:t>家养老服务信息平台、老年人居家呼叫服务系统和应急救援服务网络</w:t>
      </w:r>
      <w:r>
        <w:rPr>
          <w:rFonts w:ascii="仿宋" w:hAnsi="仿宋" w:eastAsia="仿宋"/>
          <w:sz w:val="28"/>
          <w:szCs w:val="28"/>
        </w:rPr>
        <w:t>,提供紧急呼叫、家政预</w:t>
      </w:r>
      <w:r>
        <w:rPr>
          <w:rFonts w:hint="eastAsia" w:ascii="仿宋" w:hAnsi="仿宋" w:eastAsia="仿宋"/>
          <w:sz w:val="28"/>
          <w:szCs w:val="28"/>
        </w:rPr>
        <w:t>约、健康咨询、物品代购、服务缴费</w:t>
      </w:r>
      <w:r>
        <w:rPr>
          <w:rFonts w:ascii="仿宋" w:hAnsi="仿宋" w:eastAsia="仿宋"/>
          <w:sz w:val="28"/>
          <w:szCs w:val="28"/>
        </w:rPr>
        <w:t>等老年需求服务项目,发展智慧养</w:t>
      </w:r>
      <w:r>
        <w:rPr>
          <w:rFonts w:hint="eastAsia" w:ascii="仿宋" w:hAnsi="仿宋" w:eastAsia="仿宋"/>
          <w:sz w:val="28"/>
          <w:szCs w:val="28"/>
        </w:rPr>
        <w:t>老社区。</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养老服务人员</w:t>
      </w:r>
      <w:r>
        <w:rPr>
          <w:rFonts w:hint="eastAsia" w:ascii="仿宋" w:hAnsi="仿宋" w:eastAsia="仿宋"/>
          <w:sz w:val="28"/>
          <w:szCs w:val="28"/>
        </w:rPr>
        <w:t>培养</w:t>
      </w:r>
      <w:r>
        <w:rPr>
          <w:rFonts w:ascii="仿宋" w:hAnsi="仿宋" w:eastAsia="仿宋"/>
          <w:sz w:val="28"/>
          <w:szCs w:val="28"/>
        </w:rPr>
        <w:t>工程</w:t>
      </w:r>
      <w:r>
        <w:rPr>
          <w:rFonts w:hint="eastAsia" w:ascii="仿宋" w:hAnsi="仿宋" w:eastAsia="仿宋"/>
          <w:sz w:val="28"/>
          <w:szCs w:val="28"/>
        </w:rPr>
        <w:t>，推进养老服务专业教育和培训体系建设</w:t>
      </w:r>
      <w:r>
        <w:rPr>
          <w:rFonts w:ascii="仿宋" w:hAnsi="仿宋" w:eastAsia="仿宋"/>
          <w:sz w:val="28"/>
          <w:szCs w:val="28"/>
        </w:rPr>
        <w:t>,培养老年医学、康复、护理、营养、心理和社会工</w:t>
      </w:r>
      <w:r>
        <w:rPr>
          <w:rFonts w:hint="eastAsia" w:ascii="仿宋" w:hAnsi="仿宋" w:eastAsia="仿宋"/>
          <w:sz w:val="28"/>
          <w:szCs w:val="28"/>
        </w:rPr>
        <w:t>作、老年康复辅具配置等方面的专门人才</w:t>
      </w:r>
      <w:r>
        <w:rPr>
          <w:rFonts w:ascii="仿宋" w:hAnsi="仿宋" w:eastAsia="仿宋"/>
          <w:sz w:val="28"/>
          <w:szCs w:val="28"/>
        </w:rPr>
        <w:t>,分类培养养老服务经营管理人才、专业技术人才和</w:t>
      </w:r>
      <w:r>
        <w:rPr>
          <w:rFonts w:hint="eastAsia" w:ascii="仿宋" w:hAnsi="仿宋" w:eastAsia="仿宋"/>
          <w:sz w:val="28"/>
          <w:szCs w:val="28"/>
        </w:rPr>
        <w:t>技能人才。</w:t>
      </w:r>
    </w:p>
    <w:p>
      <w:pPr>
        <w:spacing w:line="360" w:lineRule="auto"/>
        <w:ind w:firstLine="560" w:firstLineChars="200"/>
        <w:rPr>
          <w:rFonts w:ascii="仿宋" w:hAnsi="仿宋" w:eastAsia="仿宋"/>
          <w:sz w:val="28"/>
          <w:szCs w:val="28"/>
        </w:rPr>
      </w:pPr>
      <w:r>
        <w:rPr>
          <w:rFonts w:ascii="仿宋" w:hAnsi="仿宋" w:eastAsia="仿宋"/>
          <w:sz w:val="28"/>
          <w:szCs w:val="28"/>
        </w:rPr>
        <w:t>10</w:t>
      </w:r>
      <w:r>
        <w:rPr>
          <w:rFonts w:hint="eastAsia" w:ascii="仿宋" w:hAnsi="仿宋" w:eastAsia="仿宋"/>
          <w:sz w:val="28"/>
          <w:szCs w:val="28"/>
        </w:rPr>
        <w:t>.“十四五”期间规划目标</w:t>
      </w:r>
    </w:p>
    <w:p>
      <w:pPr>
        <w:spacing w:line="360" w:lineRule="auto"/>
        <w:ind w:firstLine="560" w:firstLineChars="200"/>
        <w:rPr>
          <w:rFonts w:ascii="仿宋" w:hAnsi="仿宋" w:eastAsia="仿宋" w:cs="仿宋"/>
          <w:sz w:val="28"/>
          <w:szCs w:val="28"/>
        </w:rPr>
      </w:pPr>
      <w:r>
        <w:rPr>
          <w:rFonts w:hint="eastAsia" w:ascii="仿宋" w:hAnsi="仿宋" w:eastAsia="仿宋"/>
          <w:sz w:val="28"/>
          <w:szCs w:val="28"/>
        </w:rPr>
        <w:t>（1）</w:t>
      </w:r>
      <w:r>
        <w:rPr>
          <w:rFonts w:hint="eastAsia" w:ascii="仿宋" w:hAnsi="仿宋" w:eastAsia="仿宋" w:cs="仿宋"/>
          <w:sz w:val="28"/>
          <w:szCs w:val="28"/>
        </w:rPr>
        <w:t>新建和提升城乡基层养老服务设施150个，新增养老床位1千张。</w:t>
      </w:r>
    </w:p>
    <w:p>
      <w:pPr>
        <w:spacing w:line="360" w:lineRule="auto"/>
        <w:ind w:firstLine="560" w:firstLineChars="200"/>
        <w:rPr>
          <w:rFonts w:ascii="仿宋" w:hAnsi="仿宋" w:eastAsia="仿宋" w:cs="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w:t>
      </w:r>
      <w:r>
        <w:rPr>
          <w:rFonts w:hint="eastAsia" w:ascii="仿宋" w:hAnsi="仿宋" w:eastAsia="仿宋" w:cs="仿宋"/>
          <w:sz w:val="28"/>
          <w:szCs w:val="28"/>
        </w:rPr>
        <w:t>新建和改扩建一批县级公办养老机构，新增床位1千张以上。</w:t>
      </w:r>
      <w:r>
        <w:rPr>
          <w:rFonts w:ascii="仿宋" w:hAnsi="仿宋" w:eastAsia="仿宋" w:cs="仿宋"/>
          <w:sz w:val="28"/>
          <w:szCs w:val="28"/>
        </w:rPr>
        <w:br w:type="page"/>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12  </w:t>
      </w:r>
      <w:r>
        <w:rPr>
          <w:rFonts w:hint="eastAsia" w:ascii="仿宋" w:hAnsi="仿宋" w:eastAsia="仿宋" w:cs="仿宋"/>
          <w:sz w:val="28"/>
          <w:szCs w:val="28"/>
        </w:rPr>
        <w:t>“十四五”拟新建（改造）县级特困供养机构统计情况</w:t>
      </w:r>
    </w:p>
    <w:tbl>
      <w:tblPr>
        <w:tblStyle w:val="15"/>
        <w:tblW w:w="9493" w:type="dxa"/>
        <w:jc w:val="center"/>
        <w:tblLayout w:type="autofit"/>
        <w:tblCellMar>
          <w:top w:w="0" w:type="dxa"/>
          <w:left w:w="108" w:type="dxa"/>
          <w:bottom w:w="0" w:type="dxa"/>
          <w:right w:w="108" w:type="dxa"/>
        </w:tblCellMar>
      </w:tblPr>
      <w:tblGrid>
        <w:gridCol w:w="705"/>
        <w:gridCol w:w="890"/>
        <w:gridCol w:w="706"/>
        <w:gridCol w:w="1397"/>
        <w:gridCol w:w="1111"/>
        <w:gridCol w:w="859"/>
        <w:gridCol w:w="1010"/>
        <w:gridCol w:w="992"/>
        <w:gridCol w:w="864"/>
        <w:gridCol w:w="959"/>
      </w:tblGrid>
      <w:tr>
        <w:tblPrEx>
          <w:tblCellMar>
            <w:top w:w="0" w:type="dxa"/>
            <w:left w:w="108" w:type="dxa"/>
            <w:bottom w:w="0" w:type="dxa"/>
            <w:right w:w="108" w:type="dxa"/>
          </w:tblCellMar>
        </w:tblPrEx>
        <w:trPr>
          <w:trHeight w:val="240" w:hRule="atLeast"/>
          <w:jc w:val="center"/>
        </w:trPr>
        <w:tc>
          <w:tcPr>
            <w:tcW w:w="6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计划年份</w:t>
            </w:r>
          </w:p>
        </w:tc>
        <w:tc>
          <w:tcPr>
            <w:tcW w:w="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县、区</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名称</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建设性质（新建/改建）</w:t>
            </w:r>
          </w:p>
        </w:tc>
        <w:tc>
          <w:tcPr>
            <w:tcW w:w="284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建设规模</w:t>
            </w:r>
          </w:p>
        </w:tc>
        <w:tc>
          <w:tcPr>
            <w:tcW w:w="8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总投资（万元）</w:t>
            </w:r>
          </w:p>
        </w:tc>
        <w:tc>
          <w:tcPr>
            <w:tcW w:w="9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详细地址</w:t>
            </w:r>
          </w:p>
        </w:tc>
      </w:tr>
      <w:tr>
        <w:tblPrEx>
          <w:tblCellMar>
            <w:top w:w="0" w:type="dxa"/>
            <w:left w:w="108" w:type="dxa"/>
            <w:bottom w:w="0" w:type="dxa"/>
            <w:right w:w="108" w:type="dxa"/>
          </w:tblCellMar>
        </w:tblPrEx>
        <w:trPr>
          <w:trHeight w:val="1164" w:hRule="atLeast"/>
          <w:jc w:val="center"/>
        </w:trPr>
        <w:tc>
          <w:tcPr>
            <w:tcW w:w="65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9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规划面积（亩）</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建筑面积（平方米）</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设置床位（张）</w:t>
            </w:r>
          </w:p>
        </w:tc>
        <w:tc>
          <w:tcPr>
            <w:tcW w:w="8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r>
      <w:tr>
        <w:tblPrEx>
          <w:tblCellMar>
            <w:top w:w="0" w:type="dxa"/>
            <w:left w:w="108" w:type="dxa"/>
            <w:bottom w:w="0" w:type="dxa"/>
            <w:right w:w="108" w:type="dxa"/>
          </w:tblCellMar>
        </w:tblPrEx>
        <w:trPr>
          <w:trHeight w:val="1632" w:hRule="atLeast"/>
          <w:jc w:val="center"/>
        </w:trPr>
        <w:tc>
          <w:tcPr>
            <w:tcW w:w="6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2021年开工项目</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解放区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解放区中心敬老院</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新建</w:t>
            </w:r>
          </w:p>
        </w:tc>
        <w:tc>
          <w:tcPr>
            <w:tcW w:w="8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6000</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800</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普济路与世纪路交叉口向西200米</w:t>
            </w:r>
          </w:p>
        </w:tc>
      </w:tr>
      <w:tr>
        <w:tblPrEx>
          <w:tblCellMar>
            <w:top w:w="0" w:type="dxa"/>
            <w:left w:w="108" w:type="dxa"/>
            <w:bottom w:w="0" w:type="dxa"/>
            <w:right w:w="108" w:type="dxa"/>
          </w:tblCellMar>
        </w:tblPrEx>
        <w:trPr>
          <w:trHeight w:val="810" w:hRule="atLeast"/>
          <w:jc w:val="center"/>
        </w:trPr>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kern w:val="0"/>
                <w:sz w:val="22"/>
                <w:szCs w:val="22"/>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中站区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中站区中心敬老院</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1000</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130</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300</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中站区和美小区</w:t>
            </w:r>
          </w:p>
        </w:tc>
      </w:tr>
      <w:tr>
        <w:tblPrEx>
          <w:tblCellMar>
            <w:top w:w="0" w:type="dxa"/>
            <w:left w:w="108" w:type="dxa"/>
            <w:bottom w:w="0" w:type="dxa"/>
            <w:right w:w="108" w:type="dxa"/>
          </w:tblCellMar>
        </w:tblPrEx>
        <w:trPr>
          <w:trHeight w:val="810" w:hRule="atLeast"/>
          <w:jc w:val="center"/>
        </w:trPr>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kern w:val="0"/>
                <w:sz w:val="22"/>
                <w:szCs w:val="22"/>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马村区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马村区中心敬老院</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1000</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160</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马村区马村街道水采社区</w:t>
            </w:r>
          </w:p>
        </w:tc>
      </w:tr>
      <w:tr>
        <w:tblPrEx>
          <w:tblCellMar>
            <w:top w:w="0" w:type="dxa"/>
            <w:left w:w="108" w:type="dxa"/>
            <w:bottom w:w="0" w:type="dxa"/>
            <w:right w:w="108" w:type="dxa"/>
          </w:tblCellMar>
        </w:tblPrEx>
        <w:trPr>
          <w:trHeight w:val="1230" w:hRule="atLeast"/>
          <w:jc w:val="center"/>
        </w:trPr>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示范区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示范区养老服务中心（中心敬老院）二期</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新建</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40</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450</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2000</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810" w:hRule="atLeast"/>
          <w:jc w:val="center"/>
        </w:trPr>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孟州市</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孟州市第二中心敬老院</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1080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197</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槐树乡石庄村</w:t>
            </w:r>
          </w:p>
        </w:tc>
      </w:tr>
      <w:tr>
        <w:tblPrEx>
          <w:tblCellMar>
            <w:top w:w="0" w:type="dxa"/>
            <w:left w:w="108" w:type="dxa"/>
            <w:bottom w:w="0" w:type="dxa"/>
            <w:right w:w="108" w:type="dxa"/>
          </w:tblCellMar>
        </w:tblPrEx>
        <w:trPr>
          <w:trHeight w:val="1130" w:hRule="atLeast"/>
          <w:jc w:val="center"/>
        </w:trPr>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温县</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温县中心敬老院</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1000</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430</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温县子夏大街南段</w:t>
            </w:r>
          </w:p>
        </w:tc>
      </w:tr>
      <w:tr>
        <w:tblPrEx>
          <w:tblCellMar>
            <w:top w:w="0" w:type="dxa"/>
            <w:left w:w="108" w:type="dxa"/>
            <w:bottom w:w="0" w:type="dxa"/>
            <w:right w:w="108" w:type="dxa"/>
          </w:tblCellMar>
        </w:tblPrEx>
        <w:trPr>
          <w:trHeight w:val="1118" w:hRule="atLeast"/>
          <w:jc w:val="center"/>
        </w:trPr>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博爱县</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博爱县中心敬老院</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345</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550</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博爱县滨河路南段</w:t>
            </w:r>
          </w:p>
        </w:tc>
      </w:tr>
      <w:tr>
        <w:tblPrEx>
          <w:tblCellMar>
            <w:top w:w="0" w:type="dxa"/>
            <w:left w:w="108" w:type="dxa"/>
            <w:bottom w:w="0" w:type="dxa"/>
            <w:right w:w="108" w:type="dxa"/>
          </w:tblCellMar>
        </w:tblPrEx>
        <w:trPr>
          <w:trHeight w:val="1350" w:hRule="atLeast"/>
          <w:jc w:val="center"/>
        </w:trPr>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宋体"/>
                <w:kern w:val="0"/>
                <w:sz w:val="22"/>
                <w:szCs w:val="22"/>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8</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修武县</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修武县第二中心敬老院</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8427.29</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318</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1314</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修武县王屯乡周流村西</w:t>
            </w:r>
          </w:p>
        </w:tc>
      </w:tr>
    </w:tbl>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tbl>
      <w:tblPr>
        <w:tblStyle w:val="15"/>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93"/>
        <w:gridCol w:w="707"/>
        <w:gridCol w:w="1402"/>
        <w:gridCol w:w="1115"/>
        <w:gridCol w:w="859"/>
        <w:gridCol w:w="993"/>
        <w:gridCol w:w="992"/>
        <w:gridCol w:w="866"/>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57" w:type="dxa"/>
            <w:vMerge w:val="restart"/>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计划年份</w:t>
            </w:r>
          </w:p>
        </w:tc>
        <w:tc>
          <w:tcPr>
            <w:tcW w:w="903" w:type="dxa"/>
            <w:vMerge w:val="restart"/>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序号</w:t>
            </w:r>
          </w:p>
        </w:tc>
        <w:tc>
          <w:tcPr>
            <w:tcW w:w="708" w:type="dxa"/>
            <w:vMerge w:val="restart"/>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县、区</w:t>
            </w:r>
          </w:p>
        </w:tc>
        <w:tc>
          <w:tcPr>
            <w:tcW w:w="1418" w:type="dxa"/>
            <w:vMerge w:val="restart"/>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名称</w:t>
            </w:r>
          </w:p>
        </w:tc>
        <w:tc>
          <w:tcPr>
            <w:tcW w:w="1125" w:type="dxa"/>
            <w:vMerge w:val="restart"/>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建设性质（新建/改建）</w:t>
            </w:r>
          </w:p>
        </w:tc>
        <w:tc>
          <w:tcPr>
            <w:tcW w:w="2844" w:type="dxa"/>
            <w:gridSpan w:val="3"/>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建设规模</w:t>
            </w:r>
          </w:p>
        </w:tc>
        <w:tc>
          <w:tcPr>
            <w:tcW w:w="869" w:type="dxa"/>
            <w:vMerge w:val="restart"/>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计划年份</w:t>
            </w:r>
          </w:p>
        </w:tc>
        <w:tc>
          <w:tcPr>
            <w:tcW w:w="969" w:type="dxa"/>
            <w:vMerge w:val="restart"/>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57" w:type="dxa"/>
            <w:vMerge w:val="continue"/>
            <w:shd w:val="clear" w:color="auto" w:fill="auto"/>
            <w:vAlign w:val="center"/>
          </w:tcPr>
          <w:p>
            <w:pPr>
              <w:widowControl/>
              <w:jc w:val="center"/>
              <w:rPr>
                <w:rFonts w:ascii="仿宋" w:hAnsi="仿宋" w:eastAsia="仿宋" w:cs="宋体"/>
                <w:kern w:val="0"/>
                <w:sz w:val="22"/>
                <w:szCs w:val="22"/>
              </w:rPr>
            </w:pPr>
          </w:p>
        </w:tc>
        <w:tc>
          <w:tcPr>
            <w:tcW w:w="903" w:type="dxa"/>
            <w:vMerge w:val="continue"/>
            <w:shd w:val="clear" w:color="auto" w:fill="auto"/>
            <w:vAlign w:val="center"/>
          </w:tcPr>
          <w:p>
            <w:pPr>
              <w:widowControl/>
              <w:jc w:val="center"/>
              <w:rPr>
                <w:rFonts w:ascii="仿宋" w:hAnsi="仿宋" w:eastAsia="仿宋" w:cs="宋体"/>
                <w:kern w:val="0"/>
                <w:sz w:val="22"/>
                <w:szCs w:val="22"/>
              </w:rPr>
            </w:pPr>
          </w:p>
        </w:tc>
        <w:tc>
          <w:tcPr>
            <w:tcW w:w="708" w:type="dxa"/>
            <w:vMerge w:val="continue"/>
            <w:shd w:val="clear" w:color="auto" w:fill="auto"/>
            <w:vAlign w:val="center"/>
          </w:tcPr>
          <w:p>
            <w:pPr>
              <w:widowControl/>
              <w:jc w:val="center"/>
              <w:rPr>
                <w:rFonts w:ascii="仿宋" w:hAnsi="仿宋" w:eastAsia="仿宋" w:cs="宋体"/>
                <w:kern w:val="0"/>
                <w:sz w:val="22"/>
                <w:szCs w:val="22"/>
              </w:rPr>
            </w:pPr>
          </w:p>
        </w:tc>
        <w:tc>
          <w:tcPr>
            <w:tcW w:w="1418" w:type="dxa"/>
            <w:vMerge w:val="continue"/>
            <w:shd w:val="clear" w:color="auto" w:fill="auto"/>
            <w:vAlign w:val="center"/>
          </w:tcPr>
          <w:p>
            <w:pPr>
              <w:widowControl/>
              <w:jc w:val="center"/>
              <w:rPr>
                <w:rFonts w:ascii="仿宋" w:hAnsi="仿宋" w:eastAsia="仿宋" w:cs="宋体"/>
                <w:kern w:val="0"/>
                <w:sz w:val="22"/>
                <w:szCs w:val="22"/>
              </w:rPr>
            </w:pPr>
          </w:p>
        </w:tc>
        <w:tc>
          <w:tcPr>
            <w:tcW w:w="1125" w:type="dxa"/>
            <w:vMerge w:val="continue"/>
            <w:shd w:val="clear" w:color="auto" w:fill="auto"/>
            <w:vAlign w:val="center"/>
          </w:tcPr>
          <w:p>
            <w:pPr>
              <w:widowControl/>
              <w:jc w:val="center"/>
              <w:rPr>
                <w:rFonts w:ascii="仿宋" w:hAnsi="仿宋" w:eastAsia="仿宋" w:cs="宋体"/>
                <w:kern w:val="0"/>
                <w:sz w:val="22"/>
                <w:szCs w:val="22"/>
              </w:rPr>
            </w:pPr>
          </w:p>
        </w:tc>
        <w:tc>
          <w:tcPr>
            <w:tcW w:w="859"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规划面积（亩）</w:t>
            </w:r>
          </w:p>
        </w:tc>
        <w:tc>
          <w:tcPr>
            <w:tcW w:w="993"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建筑面积（平方米）</w:t>
            </w:r>
          </w:p>
        </w:tc>
        <w:tc>
          <w:tcPr>
            <w:tcW w:w="992"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Cs w:val="21"/>
              </w:rPr>
              <w:t>设置床位（张）</w:t>
            </w:r>
          </w:p>
        </w:tc>
        <w:tc>
          <w:tcPr>
            <w:tcW w:w="869" w:type="dxa"/>
            <w:vMerge w:val="continue"/>
            <w:shd w:val="clear" w:color="auto" w:fill="auto"/>
            <w:vAlign w:val="center"/>
          </w:tcPr>
          <w:p>
            <w:pPr>
              <w:widowControl/>
              <w:jc w:val="center"/>
              <w:rPr>
                <w:rFonts w:ascii="仿宋" w:hAnsi="仿宋" w:eastAsia="仿宋" w:cs="宋体"/>
                <w:kern w:val="0"/>
                <w:sz w:val="22"/>
                <w:szCs w:val="22"/>
              </w:rPr>
            </w:pPr>
          </w:p>
        </w:tc>
        <w:tc>
          <w:tcPr>
            <w:tcW w:w="969" w:type="dxa"/>
            <w:vMerge w:val="continue"/>
            <w:shd w:val="clear" w:color="auto" w:fill="auto"/>
            <w:vAlign w:val="center"/>
          </w:tcPr>
          <w:p>
            <w:pPr>
              <w:widowControl/>
              <w:jc w:val="center"/>
              <w:rPr>
                <w:rFonts w:ascii="仿宋" w:hAnsi="仿宋" w:eastAsia="仿宋"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657" w:type="dxa"/>
            <w:vMerge w:val="restart"/>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2022年开工项目</w:t>
            </w: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解放区</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解放区中心敬老院</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新建</w:t>
            </w:r>
          </w:p>
        </w:tc>
        <w:tc>
          <w:tcPr>
            <w:tcW w:w="859"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30</w:t>
            </w:r>
          </w:p>
        </w:tc>
        <w:tc>
          <w:tcPr>
            <w:tcW w:w="993"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6000</w:t>
            </w:r>
          </w:p>
        </w:tc>
        <w:tc>
          <w:tcPr>
            <w:tcW w:w="992"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w:t>
            </w:r>
          </w:p>
        </w:tc>
        <w:tc>
          <w:tcPr>
            <w:tcW w:w="8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w:t>
            </w:r>
          </w:p>
        </w:tc>
        <w:tc>
          <w:tcPr>
            <w:tcW w:w="9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普济路与世纪路交叉口向西200米路南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0" w:hRule="atLeast"/>
          <w:jc w:val="center"/>
        </w:trPr>
        <w:tc>
          <w:tcPr>
            <w:tcW w:w="657" w:type="dxa"/>
            <w:vMerge w:val="continue"/>
            <w:shd w:val="clear" w:color="auto" w:fill="auto"/>
            <w:vAlign w:val="center"/>
          </w:tcPr>
          <w:p>
            <w:pPr>
              <w:jc w:val="center"/>
              <w:rPr>
                <w:rFonts w:ascii="仿宋" w:hAnsi="仿宋" w:eastAsia="仿宋" w:cs="宋体"/>
                <w:kern w:val="0"/>
                <w:sz w:val="22"/>
                <w:szCs w:val="22"/>
              </w:rPr>
            </w:pP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中站区</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中站区中心敬老院升级</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扩建</w:t>
            </w:r>
          </w:p>
        </w:tc>
        <w:tc>
          <w:tcPr>
            <w:tcW w:w="859"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1600</w:t>
            </w:r>
          </w:p>
        </w:tc>
        <w:tc>
          <w:tcPr>
            <w:tcW w:w="993" w:type="dxa"/>
            <w:shd w:val="clear" w:color="auto" w:fill="auto"/>
            <w:noWrap/>
            <w:vAlign w:val="center"/>
          </w:tcPr>
          <w:p>
            <w:pPr>
              <w:widowControl/>
              <w:jc w:val="center"/>
              <w:rPr>
                <w:rFonts w:ascii="仿宋" w:hAnsi="仿宋" w:eastAsia="仿宋" w:cs="宋体"/>
                <w:kern w:val="0"/>
                <w:sz w:val="22"/>
                <w:szCs w:val="22"/>
              </w:rPr>
            </w:pPr>
          </w:p>
        </w:tc>
        <w:tc>
          <w:tcPr>
            <w:tcW w:w="992"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130</w:t>
            </w:r>
          </w:p>
        </w:tc>
        <w:tc>
          <w:tcPr>
            <w:tcW w:w="8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1200</w:t>
            </w:r>
          </w:p>
        </w:tc>
        <w:tc>
          <w:tcPr>
            <w:tcW w:w="9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中站区和美小区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7" w:type="dxa"/>
            <w:vMerge w:val="continue"/>
            <w:shd w:val="clear" w:color="auto" w:fill="auto"/>
            <w:vAlign w:val="center"/>
          </w:tcPr>
          <w:p>
            <w:pPr>
              <w:jc w:val="center"/>
              <w:rPr>
                <w:rFonts w:ascii="仿宋" w:hAnsi="仿宋" w:eastAsia="仿宋" w:cs="宋体"/>
                <w:kern w:val="0"/>
                <w:sz w:val="22"/>
                <w:szCs w:val="22"/>
              </w:rPr>
            </w:pP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马村区</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马村区中心敬老院</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w:t>
            </w:r>
          </w:p>
        </w:tc>
        <w:tc>
          <w:tcPr>
            <w:tcW w:w="993"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1300</w:t>
            </w:r>
          </w:p>
        </w:tc>
        <w:tc>
          <w:tcPr>
            <w:tcW w:w="992"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80</w:t>
            </w:r>
          </w:p>
        </w:tc>
        <w:tc>
          <w:tcPr>
            <w:tcW w:w="8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570</w:t>
            </w:r>
          </w:p>
        </w:tc>
        <w:tc>
          <w:tcPr>
            <w:tcW w:w="9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马村区马村街道水采社区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7" w:type="dxa"/>
            <w:vMerge w:val="continue"/>
            <w:shd w:val="clear" w:color="auto" w:fill="auto"/>
            <w:vAlign w:val="center"/>
          </w:tcPr>
          <w:p>
            <w:pPr>
              <w:jc w:val="center"/>
              <w:rPr>
                <w:rFonts w:ascii="仿宋" w:hAnsi="仿宋" w:eastAsia="仿宋" w:cs="宋体"/>
                <w:kern w:val="0"/>
                <w:sz w:val="22"/>
                <w:szCs w:val="22"/>
              </w:rPr>
            </w:pP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示范区</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示范区养老服务中心（中心敬老院）三期</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新建</w:t>
            </w:r>
          </w:p>
        </w:tc>
        <w:tc>
          <w:tcPr>
            <w:tcW w:w="859"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40</w:t>
            </w:r>
          </w:p>
        </w:tc>
        <w:tc>
          <w:tcPr>
            <w:tcW w:w="993"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20000</w:t>
            </w:r>
          </w:p>
        </w:tc>
        <w:tc>
          <w:tcPr>
            <w:tcW w:w="992"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450</w:t>
            </w:r>
          </w:p>
        </w:tc>
        <w:tc>
          <w:tcPr>
            <w:tcW w:w="8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1000</w:t>
            </w:r>
          </w:p>
        </w:tc>
        <w:tc>
          <w:tcPr>
            <w:tcW w:w="969" w:type="dxa"/>
            <w:shd w:val="clear" w:color="auto" w:fill="auto"/>
            <w:vAlign w:val="center"/>
          </w:tcPr>
          <w:p>
            <w:pPr>
              <w:widowControl/>
              <w:jc w:val="center"/>
              <w:rPr>
                <w:rFonts w:ascii="仿宋" w:hAnsi="仿宋" w:eastAsia="仿宋"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7" w:type="dxa"/>
            <w:vMerge w:val="continue"/>
            <w:shd w:val="clear" w:color="auto" w:fill="auto"/>
            <w:vAlign w:val="center"/>
          </w:tcPr>
          <w:p>
            <w:pPr>
              <w:jc w:val="left"/>
              <w:rPr>
                <w:rFonts w:ascii="仿宋" w:hAnsi="仿宋" w:eastAsia="仿宋" w:cs="宋体"/>
                <w:kern w:val="0"/>
                <w:sz w:val="22"/>
                <w:szCs w:val="22"/>
              </w:rPr>
            </w:pP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沁阳市</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沁阳市第二中敬老院</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新建</w:t>
            </w:r>
          </w:p>
        </w:tc>
        <w:tc>
          <w:tcPr>
            <w:tcW w:w="859"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w:t>
            </w:r>
          </w:p>
        </w:tc>
        <w:tc>
          <w:tcPr>
            <w:tcW w:w="993"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13000</w:t>
            </w:r>
          </w:p>
        </w:tc>
        <w:tc>
          <w:tcPr>
            <w:tcW w:w="992"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562</w:t>
            </w:r>
          </w:p>
        </w:tc>
        <w:tc>
          <w:tcPr>
            <w:tcW w:w="8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5000</w:t>
            </w:r>
          </w:p>
        </w:tc>
        <w:tc>
          <w:tcPr>
            <w:tcW w:w="969" w:type="dxa"/>
            <w:shd w:val="clear" w:color="auto" w:fill="auto"/>
            <w:vAlign w:val="center"/>
          </w:tcPr>
          <w:p>
            <w:pPr>
              <w:widowControl/>
              <w:jc w:val="center"/>
              <w:rPr>
                <w:rFonts w:ascii="仿宋" w:hAnsi="仿宋" w:eastAsia="仿宋"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jc w:val="center"/>
        </w:trPr>
        <w:tc>
          <w:tcPr>
            <w:tcW w:w="657" w:type="dxa"/>
            <w:vMerge w:val="continue"/>
            <w:shd w:val="clear" w:color="auto" w:fill="auto"/>
            <w:vAlign w:val="center"/>
          </w:tcPr>
          <w:p>
            <w:pPr>
              <w:jc w:val="left"/>
              <w:rPr>
                <w:rFonts w:ascii="仿宋" w:hAnsi="仿宋" w:eastAsia="仿宋" w:cs="宋体"/>
                <w:kern w:val="0"/>
                <w:sz w:val="22"/>
                <w:szCs w:val="22"/>
              </w:rPr>
            </w:pP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温县</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温县中心敬老院</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shd w:val="clear" w:color="auto" w:fill="auto"/>
            <w:noWrap/>
            <w:vAlign w:val="center"/>
          </w:tcPr>
          <w:p>
            <w:pPr>
              <w:widowControl/>
              <w:jc w:val="center"/>
              <w:rPr>
                <w:rFonts w:ascii="仿宋" w:hAnsi="仿宋" w:eastAsia="仿宋" w:cs="宋体"/>
                <w:kern w:val="0"/>
                <w:sz w:val="22"/>
                <w:szCs w:val="22"/>
              </w:rPr>
            </w:pPr>
          </w:p>
        </w:tc>
        <w:tc>
          <w:tcPr>
            <w:tcW w:w="993"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1000</w:t>
            </w:r>
          </w:p>
        </w:tc>
        <w:tc>
          <w:tcPr>
            <w:tcW w:w="992"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430</w:t>
            </w:r>
          </w:p>
        </w:tc>
        <w:tc>
          <w:tcPr>
            <w:tcW w:w="8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w:t>
            </w:r>
          </w:p>
        </w:tc>
        <w:tc>
          <w:tcPr>
            <w:tcW w:w="9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温县子夏大街南段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7" w:type="dxa"/>
            <w:vMerge w:val="continue"/>
            <w:shd w:val="clear" w:color="auto" w:fill="auto"/>
            <w:vAlign w:val="center"/>
          </w:tcPr>
          <w:p>
            <w:pPr>
              <w:widowControl/>
              <w:jc w:val="left"/>
              <w:rPr>
                <w:rFonts w:ascii="仿宋" w:hAnsi="仿宋" w:eastAsia="仿宋" w:cs="宋体"/>
                <w:kern w:val="0"/>
                <w:sz w:val="22"/>
                <w:szCs w:val="22"/>
              </w:rPr>
            </w:pP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博爱县</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博爱县中心敬老院</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改建</w:t>
            </w:r>
          </w:p>
        </w:tc>
        <w:tc>
          <w:tcPr>
            <w:tcW w:w="859" w:type="dxa"/>
            <w:shd w:val="clear" w:color="auto" w:fill="auto"/>
            <w:noWrap/>
            <w:vAlign w:val="center"/>
          </w:tcPr>
          <w:p>
            <w:pPr>
              <w:widowControl/>
              <w:jc w:val="center"/>
              <w:rPr>
                <w:rFonts w:ascii="仿宋" w:hAnsi="仿宋" w:eastAsia="仿宋" w:cs="宋体"/>
                <w:kern w:val="0"/>
                <w:sz w:val="22"/>
                <w:szCs w:val="22"/>
              </w:rPr>
            </w:pPr>
          </w:p>
        </w:tc>
        <w:tc>
          <w:tcPr>
            <w:tcW w:w="993" w:type="dxa"/>
            <w:shd w:val="clear" w:color="auto" w:fill="auto"/>
            <w:noWrap/>
            <w:vAlign w:val="center"/>
          </w:tcPr>
          <w:p>
            <w:pPr>
              <w:widowControl/>
              <w:jc w:val="center"/>
              <w:rPr>
                <w:rFonts w:ascii="仿宋" w:hAnsi="仿宋" w:eastAsia="仿宋" w:cs="宋体"/>
                <w:kern w:val="0"/>
                <w:sz w:val="22"/>
                <w:szCs w:val="22"/>
              </w:rPr>
            </w:pPr>
          </w:p>
        </w:tc>
        <w:tc>
          <w:tcPr>
            <w:tcW w:w="992" w:type="dxa"/>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345</w:t>
            </w:r>
          </w:p>
        </w:tc>
        <w:tc>
          <w:tcPr>
            <w:tcW w:w="8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w:t>
            </w:r>
          </w:p>
        </w:tc>
        <w:tc>
          <w:tcPr>
            <w:tcW w:w="9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博爱县滨河路南段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57" w:type="dxa"/>
            <w:vMerge w:val="restart"/>
            <w:shd w:val="clear" w:color="auto" w:fill="auto"/>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“十四五”期间完成</w:t>
            </w: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解放区</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解放区公办养老院</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新建</w:t>
            </w:r>
          </w:p>
        </w:tc>
        <w:tc>
          <w:tcPr>
            <w:tcW w:w="85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24.8</w:t>
            </w:r>
          </w:p>
        </w:tc>
        <w:tc>
          <w:tcPr>
            <w:tcW w:w="99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4060</w:t>
            </w:r>
          </w:p>
        </w:tc>
        <w:tc>
          <w:tcPr>
            <w:tcW w:w="992"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600</w:t>
            </w:r>
          </w:p>
        </w:tc>
        <w:tc>
          <w:tcPr>
            <w:tcW w:w="869" w:type="dxa"/>
            <w:shd w:val="clear" w:color="auto" w:fill="auto"/>
            <w:vAlign w:val="center"/>
          </w:tcPr>
          <w:p>
            <w:pPr>
              <w:widowControl/>
              <w:jc w:val="center"/>
              <w:rPr>
                <w:rFonts w:ascii="仿宋" w:hAnsi="仿宋" w:eastAsia="仿宋" w:cs="宋体"/>
                <w:kern w:val="0"/>
                <w:sz w:val="22"/>
                <w:szCs w:val="22"/>
              </w:rPr>
            </w:pPr>
          </w:p>
        </w:tc>
        <w:tc>
          <w:tcPr>
            <w:tcW w:w="9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林园路2</w:t>
            </w:r>
            <w:r>
              <w:rPr>
                <w:rFonts w:ascii="仿宋" w:hAnsi="仿宋" w:eastAsia="仿宋" w:cs="宋体"/>
                <w:kern w:val="0"/>
                <w:sz w:val="22"/>
                <w:szCs w:val="22"/>
              </w:rPr>
              <w:t>68</w:t>
            </w:r>
            <w:r>
              <w:rPr>
                <w:rFonts w:hint="eastAsia" w:ascii="仿宋" w:hAnsi="仿宋" w:eastAsia="仿宋" w:cs="宋体"/>
                <w:kern w:val="0"/>
                <w:sz w:val="22"/>
                <w:szCs w:val="22"/>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657" w:type="dxa"/>
            <w:vMerge w:val="continue"/>
            <w:shd w:val="clear" w:color="auto" w:fill="auto"/>
            <w:vAlign w:val="center"/>
          </w:tcPr>
          <w:p>
            <w:pPr>
              <w:widowControl/>
              <w:jc w:val="center"/>
              <w:rPr>
                <w:rFonts w:ascii="仿宋" w:hAnsi="仿宋" w:eastAsia="仿宋" w:cs="宋体"/>
                <w:kern w:val="0"/>
                <w:sz w:val="22"/>
                <w:szCs w:val="22"/>
              </w:rPr>
            </w:pPr>
          </w:p>
        </w:tc>
        <w:tc>
          <w:tcPr>
            <w:tcW w:w="903"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70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山阳区</w:t>
            </w:r>
          </w:p>
        </w:tc>
        <w:tc>
          <w:tcPr>
            <w:tcW w:w="1418"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山阳区敬老院</w:t>
            </w:r>
          </w:p>
        </w:tc>
        <w:tc>
          <w:tcPr>
            <w:tcW w:w="1125"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新建</w:t>
            </w:r>
          </w:p>
        </w:tc>
        <w:tc>
          <w:tcPr>
            <w:tcW w:w="859" w:type="dxa"/>
            <w:shd w:val="clear" w:color="auto" w:fill="auto"/>
            <w:vAlign w:val="center"/>
          </w:tcPr>
          <w:p>
            <w:pPr>
              <w:widowControl/>
              <w:jc w:val="center"/>
              <w:rPr>
                <w:rFonts w:ascii="仿宋" w:hAnsi="仿宋" w:eastAsia="仿宋" w:cs="宋体"/>
                <w:kern w:val="0"/>
                <w:sz w:val="22"/>
                <w:szCs w:val="22"/>
              </w:rPr>
            </w:pPr>
          </w:p>
        </w:tc>
        <w:tc>
          <w:tcPr>
            <w:tcW w:w="993" w:type="dxa"/>
            <w:shd w:val="clear" w:color="auto" w:fill="auto"/>
            <w:vAlign w:val="center"/>
          </w:tcPr>
          <w:p>
            <w:pPr>
              <w:widowControl/>
              <w:jc w:val="center"/>
              <w:rPr>
                <w:rFonts w:ascii="仿宋" w:hAnsi="仿宋" w:eastAsia="仿宋" w:cs="宋体"/>
                <w:kern w:val="0"/>
                <w:sz w:val="22"/>
                <w:szCs w:val="22"/>
              </w:rPr>
            </w:pPr>
          </w:p>
        </w:tc>
        <w:tc>
          <w:tcPr>
            <w:tcW w:w="992"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200</w:t>
            </w:r>
          </w:p>
        </w:tc>
        <w:tc>
          <w:tcPr>
            <w:tcW w:w="869" w:type="dxa"/>
            <w:shd w:val="clear" w:color="auto" w:fill="auto"/>
            <w:vAlign w:val="center"/>
          </w:tcPr>
          <w:p>
            <w:pPr>
              <w:widowControl/>
              <w:jc w:val="center"/>
              <w:rPr>
                <w:rFonts w:ascii="仿宋" w:hAnsi="仿宋" w:eastAsia="仿宋" w:cs="宋体"/>
                <w:kern w:val="0"/>
                <w:sz w:val="22"/>
                <w:szCs w:val="22"/>
              </w:rPr>
            </w:pPr>
          </w:p>
        </w:tc>
        <w:tc>
          <w:tcPr>
            <w:tcW w:w="969" w:type="dxa"/>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焦辉路中星街道办事处东临</w:t>
            </w:r>
          </w:p>
        </w:tc>
      </w:tr>
    </w:tbl>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w:t>
      </w:r>
      <w:r>
        <w:rPr>
          <w:rFonts w:hint="eastAsia" w:ascii="仿宋" w:hAnsi="仿宋" w:eastAsia="仿宋" w:cs="仿宋"/>
          <w:sz w:val="28"/>
          <w:szCs w:val="28"/>
        </w:rPr>
        <w:t>建成焦作市智慧养老服务中心。</w:t>
      </w:r>
    </w:p>
    <w:p>
      <w:pPr>
        <w:spacing w:line="360" w:lineRule="auto"/>
        <w:ind w:firstLine="560" w:firstLineChars="200"/>
        <w:rPr>
          <w:rFonts w:ascii="仿宋" w:hAnsi="仿宋" w:eastAsia="仿宋" w:cs="仿宋"/>
          <w:sz w:val="28"/>
          <w:szCs w:val="28"/>
        </w:rPr>
      </w:pPr>
      <w:r>
        <w:rPr>
          <w:rFonts w:hint="eastAsia" w:ascii="仿宋" w:hAnsi="仿宋" w:eastAsia="仿宋"/>
          <w:sz w:val="28"/>
          <w:szCs w:val="28"/>
        </w:rPr>
        <w:t>（</w:t>
      </w:r>
      <w:r>
        <w:rPr>
          <w:rFonts w:ascii="仿宋" w:hAnsi="仿宋" w:eastAsia="仿宋"/>
          <w:sz w:val="28"/>
          <w:szCs w:val="28"/>
        </w:rPr>
        <w:t>4</w:t>
      </w:r>
      <w:r>
        <w:rPr>
          <w:rFonts w:hint="eastAsia" w:ascii="仿宋" w:hAnsi="仿宋" w:eastAsia="仿宋"/>
          <w:sz w:val="28"/>
          <w:szCs w:val="28"/>
        </w:rPr>
        <w:t>）</w:t>
      </w:r>
      <w:r>
        <w:rPr>
          <w:rFonts w:hint="eastAsia" w:ascii="仿宋" w:hAnsi="仿宋" w:eastAsia="仿宋" w:cs="仿宋"/>
          <w:sz w:val="28"/>
          <w:szCs w:val="28"/>
        </w:rPr>
        <w:t>新建和改扩建乡镇敬老院</w:t>
      </w:r>
      <w:r>
        <w:rPr>
          <w:rFonts w:ascii="仿宋" w:hAnsi="仿宋" w:eastAsia="仿宋" w:cs="仿宋"/>
          <w:sz w:val="28"/>
          <w:szCs w:val="28"/>
        </w:rPr>
        <w:t>18</w:t>
      </w:r>
      <w:r>
        <w:rPr>
          <w:rFonts w:hint="eastAsia" w:ascii="仿宋" w:hAnsi="仿宋" w:eastAsia="仿宋" w:cs="仿宋"/>
          <w:sz w:val="28"/>
          <w:szCs w:val="28"/>
        </w:rPr>
        <w:t>所，新增床位200张以上。</w:t>
      </w:r>
    </w:p>
    <w:p>
      <w:pPr>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13    </w:t>
      </w:r>
      <w:r>
        <w:rPr>
          <w:rFonts w:hint="eastAsia" w:ascii="仿宋" w:hAnsi="仿宋" w:eastAsia="仿宋" w:cs="仿宋"/>
          <w:sz w:val="28"/>
          <w:szCs w:val="28"/>
        </w:rPr>
        <w:t>“十四五”拟新建（改扩建）乡镇特困供养机构统计情况</w:t>
      </w:r>
    </w:p>
    <w:tbl>
      <w:tblPr>
        <w:tblStyle w:val="15"/>
        <w:tblW w:w="9209" w:type="dxa"/>
        <w:tblInd w:w="0" w:type="dxa"/>
        <w:tblLayout w:type="autofit"/>
        <w:tblCellMar>
          <w:top w:w="0" w:type="dxa"/>
          <w:left w:w="108" w:type="dxa"/>
          <w:bottom w:w="0" w:type="dxa"/>
          <w:right w:w="108" w:type="dxa"/>
        </w:tblCellMar>
      </w:tblPr>
      <w:tblGrid>
        <w:gridCol w:w="1140"/>
        <w:gridCol w:w="4320"/>
        <w:gridCol w:w="2320"/>
        <w:gridCol w:w="1429"/>
      </w:tblGrid>
      <w:tr>
        <w:tblPrEx>
          <w:tblCellMar>
            <w:top w:w="0" w:type="dxa"/>
            <w:left w:w="108" w:type="dxa"/>
            <w:bottom w:w="0" w:type="dxa"/>
            <w:right w:w="108" w:type="dxa"/>
          </w:tblCellMar>
        </w:tblPrEx>
        <w:trPr>
          <w:trHeight w:val="553" w:hRule="atLeast"/>
          <w:tblHeader/>
        </w:trPr>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县、区（市）</w:t>
            </w:r>
          </w:p>
        </w:tc>
        <w:tc>
          <w:tcPr>
            <w:tcW w:w="43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内容</w:t>
            </w:r>
          </w:p>
        </w:tc>
        <w:tc>
          <w:tcPr>
            <w:tcW w:w="23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机构名称</w:t>
            </w:r>
          </w:p>
        </w:tc>
        <w:tc>
          <w:tcPr>
            <w:tcW w:w="14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所需资金（万元）</w:t>
            </w:r>
          </w:p>
        </w:tc>
      </w:tr>
      <w:tr>
        <w:tblPrEx>
          <w:tblCellMar>
            <w:top w:w="0" w:type="dxa"/>
            <w:left w:w="108" w:type="dxa"/>
            <w:bottom w:w="0" w:type="dxa"/>
            <w:right w:w="108" w:type="dxa"/>
          </w:tblCellMar>
        </w:tblPrEx>
        <w:trPr>
          <w:trHeight w:val="536" w:hRule="atLeast"/>
        </w:trPr>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焦作市城乡一体化示范区</w:t>
            </w:r>
          </w:p>
        </w:tc>
        <w:tc>
          <w:tcPr>
            <w:tcW w:w="43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机构总数4个，改造提升数4个，占比100%，所需经费400万元。</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文昌街道敬老院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w:t>
            </w:r>
          </w:p>
        </w:tc>
      </w:tr>
      <w:tr>
        <w:tblPrEx>
          <w:tblCellMar>
            <w:top w:w="0" w:type="dxa"/>
            <w:left w:w="108" w:type="dxa"/>
            <w:bottom w:w="0" w:type="dxa"/>
            <w:right w:w="108" w:type="dxa"/>
          </w:tblCellMar>
        </w:tblPrEx>
        <w:trPr>
          <w:trHeight w:val="536"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宁郭镇敬老院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w:t>
            </w:r>
          </w:p>
        </w:tc>
      </w:tr>
      <w:tr>
        <w:tblPrEx>
          <w:tblCellMar>
            <w:top w:w="0" w:type="dxa"/>
            <w:left w:w="108" w:type="dxa"/>
            <w:bottom w:w="0" w:type="dxa"/>
            <w:right w:w="108" w:type="dxa"/>
          </w:tblCellMar>
        </w:tblPrEx>
        <w:trPr>
          <w:trHeight w:val="536"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苏家作乡敬老院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w:t>
            </w:r>
          </w:p>
        </w:tc>
      </w:tr>
      <w:tr>
        <w:tblPrEx>
          <w:tblCellMar>
            <w:top w:w="0" w:type="dxa"/>
            <w:left w:w="108" w:type="dxa"/>
            <w:bottom w:w="0" w:type="dxa"/>
            <w:right w:w="108" w:type="dxa"/>
          </w:tblCellMar>
        </w:tblPrEx>
        <w:trPr>
          <w:trHeight w:val="536"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阳庙敬老院院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w:t>
            </w:r>
          </w:p>
        </w:tc>
      </w:tr>
      <w:tr>
        <w:tblPrEx>
          <w:tblCellMar>
            <w:top w:w="0" w:type="dxa"/>
            <w:left w:w="108" w:type="dxa"/>
            <w:bottom w:w="0" w:type="dxa"/>
            <w:right w:w="108" w:type="dxa"/>
          </w:tblCellMar>
        </w:tblPrEx>
        <w:trPr>
          <w:trHeight w:val="536" w:hRule="atLeast"/>
        </w:trPr>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孟州市</w:t>
            </w:r>
          </w:p>
        </w:tc>
        <w:tc>
          <w:tcPr>
            <w:tcW w:w="43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机构总数7个，此次提升数2个，占比42.8%，所需经费70万元。</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南庄镇敬老院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40</w:t>
            </w:r>
          </w:p>
        </w:tc>
      </w:tr>
      <w:tr>
        <w:tblPrEx>
          <w:tblCellMar>
            <w:top w:w="0" w:type="dxa"/>
            <w:left w:w="108" w:type="dxa"/>
            <w:bottom w:w="0" w:type="dxa"/>
            <w:right w:w="108" w:type="dxa"/>
          </w:tblCellMar>
        </w:tblPrEx>
        <w:trPr>
          <w:trHeight w:val="536"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城伯镇敬老院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30</w:t>
            </w:r>
          </w:p>
        </w:tc>
      </w:tr>
      <w:tr>
        <w:tblPrEx>
          <w:tblCellMar>
            <w:top w:w="0" w:type="dxa"/>
            <w:left w:w="108" w:type="dxa"/>
            <w:bottom w:w="0" w:type="dxa"/>
            <w:right w:w="108" w:type="dxa"/>
          </w:tblCellMar>
        </w:tblPrEx>
        <w:trPr>
          <w:trHeight w:val="375" w:hRule="atLeast"/>
        </w:trPr>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沁阳市</w:t>
            </w:r>
          </w:p>
        </w:tc>
        <w:tc>
          <w:tcPr>
            <w:tcW w:w="43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机构总数8个，改造提升数5个，占比62%，所需经费370万元。</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王召乡敬老院</w:t>
            </w:r>
          </w:p>
        </w:tc>
        <w:tc>
          <w:tcPr>
            <w:tcW w:w="142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80</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西向镇敬老院</w:t>
            </w:r>
          </w:p>
        </w:tc>
        <w:tc>
          <w:tcPr>
            <w:tcW w:w="142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70</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柏香镇敬老院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崇义镇敬老院</w:t>
            </w:r>
          </w:p>
        </w:tc>
        <w:tc>
          <w:tcPr>
            <w:tcW w:w="142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王曲乡敬老院</w:t>
            </w:r>
          </w:p>
        </w:tc>
        <w:tc>
          <w:tcPr>
            <w:tcW w:w="142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w:t>
            </w:r>
          </w:p>
        </w:tc>
      </w:tr>
      <w:tr>
        <w:tblPrEx>
          <w:tblCellMar>
            <w:top w:w="0" w:type="dxa"/>
            <w:left w:w="108" w:type="dxa"/>
            <w:bottom w:w="0" w:type="dxa"/>
            <w:right w:w="108" w:type="dxa"/>
          </w:tblCellMar>
        </w:tblPrEx>
        <w:trPr>
          <w:trHeight w:val="375" w:hRule="atLeast"/>
        </w:trPr>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温县</w:t>
            </w:r>
          </w:p>
        </w:tc>
        <w:tc>
          <w:tcPr>
            <w:tcW w:w="43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机构总数7个，此次提升数2个，占比28%，所需经费170万元。新建1个</w:t>
            </w:r>
            <w:r>
              <w:rPr>
                <w:rFonts w:hint="eastAsia" w:ascii="仿宋" w:hAnsi="仿宋" w:eastAsia="仿宋" w:cs="宋体"/>
                <w:color w:val="000000"/>
                <w:kern w:val="0"/>
                <w:sz w:val="24"/>
              </w:rPr>
              <w:t>番田镇敬老院</w:t>
            </w:r>
            <w:r>
              <w:rPr>
                <w:rFonts w:hint="eastAsia" w:ascii="仿宋" w:hAnsi="仿宋" w:eastAsia="仿宋" w:cs="宋体"/>
                <w:kern w:val="0"/>
                <w:sz w:val="22"/>
                <w:szCs w:val="22"/>
              </w:rPr>
              <w:t>所需经费1000万。</w:t>
            </w: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招贤敬老院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90</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武德镇敬老院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80</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番田镇敬老院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1000</w:t>
            </w:r>
          </w:p>
        </w:tc>
      </w:tr>
      <w:tr>
        <w:tblPrEx>
          <w:tblCellMar>
            <w:top w:w="0" w:type="dxa"/>
            <w:left w:w="108" w:type="dxa"/>
            <w:bottom w:w="0" w:type="dxa"/>
            <w:right w:w="108" w:type="dxa"/>
          </w:tblCellMar>
        </w:tblPrEx>
        <w:trPr>
          <w:trHeight w:val="375" w:hRule="atLeast"/>
        </w:trPr>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武陟县</w:t>
            </w:r>
          </w:p>
        </w:tc>
        <w:tc>
          <w:tcPr>
            <w:tcW w:w="43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机构总数11个，改造提升数4个，占比36%，所需经费445万元。</w:t>
            </w: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小董乡敬老院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120</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三阳乡敬老院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110</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西陶镇敬老院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105</w:t>
            </w:r>
          </w:p>
        </w:tc>
      </w:tr>
      <w:tr>
        <w:tblPrEx>
          <w:tblCellMar>
            <w:top w:w="0" w:type="dxa"/>
            <w:left w:w="108" w:type="dxa"/>
            <w:bottom w:w="0" w:type="dxa"/>
            <w:right w:w="108" w:type="dxa"/>
          </w:tblCellMar>
        </w:tblPrEx>
        <w:trPr>
          <w:trHeight w:val="375" w:hRule="atLeast"/>
        </w:trPr>
        <w:tc>
          <w:tcPr>
            <w:tcW w:w="114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432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北郭乡敬老院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110</w:t>
            </w:r>
          </w:p>
        </w:tc>
      </w:tr>
      <w:tr>
        <w:tblPrEx>
          <w:tblCellMar>
            <w:top w:w="0" w:type="dxa"/>
            <w:left w:w="108" w:type="dxa"/>
            <w:bottom w:w="0" w:type="dxa"/>
            <w:right w:w="108" w:type="dxa"/>
          </w:tblCellMar>
        </w:tblPrEx>
        <w:trPr>
          <w:trHeight w:val="825" w:hRule="atLeast"/>
        </w:trPr>
        <w:tc>
          <w:tcPr>
            <w:tcW w:w="11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博爱县</w:t>
            </w:r>
          </w:p>
        </w:tc>
        <w:tc>
          <w:tcPr>
            <w:tcW w:w="4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机构总数7个，改造提升数1个，占比28.5%，所需经费500万元。</w:t>
            </w:r>
          </w:p>
        </w:tc>
        <w:tc>
          <w:tcPr>
            <w:tcW w:w="23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柏山镇敬老院</w:t>
            </w:r>
          </w:p>
        </w:tc>
        <w:tc>
          <w:tcPr>
            <w:tcW w:w="1429"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500</w:t>
            </w:r>
          </w:p>
        </w:tc>
      </w:tr>
      <w:tr>
        <w:tblPrEx>
          <w:tblCellMar>
            <w:top w:w="0" w:type="dxa"/>
            <w:left w:w="108" w:type="dxa"/>
            <w:bottom w:w="0" w:type="dxa"/>
            <w:right w:w="108" w:type="dxa"/>
          </w:tblCellMar>
        </w:tblPrEx>
        <w:trPr>
          <w:trHeight w:val="1035" w:hRule="atLeast"/>
        </w:trPr>
        <w:tc>
          <w:tcPr>
            <w:tcW w:w="114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焦作市</w:t>
            </w:r>
          </w:p>
        </w:tc>
        <w:tc>
          <w:tcPr>
            <w:tcW w:w="43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省辖市全市共计特困供养机构47个、共改造提升18个机构、占比40%、所需经费共计2955万元。</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合计</w:t>
            </w:r>
          </w:p>
        </w:tc>
        <w:tc>
          <w:tcPr>
            <w:tcW w:w="142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2955</w:t>
            </w:r>
          </w:p>
        </w:tc>
      </w:tr>
    </w:tbl>
    <w:p>
      <w:pPr>
        <w:spacing w:line="360" w:lineRule="auto"/>
        <w:ind w:firstLine="560" w:firstLineChars="200"/>
        <w:rPr>
          <w:rFonts w:ascii="仿宋" w:hAnsi="仿宋" w:eastAsia="仿宋" w:cs="仿宋"/>
          <w:sz w:val="28"/>
          <w:szCs w:val="28"/>
        </w:rPr>
      </w:pPr>
      <w:r>
        <w:rPr>
          <w:rFonts w:hint="eastAsia" w:ascii="仿宋" w:hAnsi="仿宋" w:eastAsia="仿宋"/>
          <w:sz w:val="28"/>
          <w:szCs w:val="28"/>
        </w:rPr>
        <w:t>（</w:t>
      </w:r>
      <w:r>
        <w:rPr>
          <w:rFonts w:ascii="仿宋" w:hAnsi="仿宋" w:eastAsia="仿宋"/>
          <w:sz w:val="28"/>
          <w:szCs w:val="28"/>
        </w:rPr>
        <w:t>5</w:t>
      </w:r>
      <w:r>
        <w:rPr>
          <w:rFonts w:hint="eastAsia" w:ascii="仿宋" w:hAnsi="仿宋" w:eastAsia="仿宋"/>
          <w:sz w:val="28"/>
          <w:szCs w:val="28"/>
        </w:rPr>
        <w:t>）</w:t>
      </w:r>
      <w:r>
        <w:rPr>
          <w:rFonts w:hint="eastAsia" w:ascii="仿宋" w:hAnsi="仿宋" w:eastAsia="仿宋" w:cs="仿宋"/>
          <w:sz w:val="28"/>
          <w:szCs w:val="28"/>
        </w:rPr>
        <w:t>完成市福利院迁建项目，高标准打造全省示范性公办养老机构。</w:t>
      </w:r>
    </w:p>
    <w:p>
      <w:pPr>
        <w:spacing w:line="360" w:lineRule="auto"/>
        <w:ind w:firstLine="560" w:firstLineChars="200"/>
        <w:rPr>
          <w:rFonts w:ascii="仿宋" w:hAnsi="仿宋" w:eastAsia="仿宋" w:cs="仿宋"/>
          <w:sz w:val="28"/>
          <w:szCs w:val="28"/>
        </w:rPr>
      </w:pPr>
      <w:r>
        <w:rPr>
          <w:rFonts w:hint="eastAsia" w:ascii="仿宋" w:hAnsi="仿宋" w:eastAsia="仿宋"/>
          <w:sz w:val="28"/>
          <w:szCs w:val="28"/>
        </w:rPr>
        <w:t>（</w:t>
      </w:r>
      <w:r>
        <w:rPr>
          <w:rFonts w:ascii="仿宋" w:hAnsi="仿宋" w:eastAsia="仿宋"/>
          <w:sz w:val="28"/>
          <w:szCs w:val="28"/>
        </w:rPr>
        <w:t>6</w:t>
      </w:r>
      <w:r>
        <w:rPr>
          <w:rFonts w:hint="eastAsia" w:ascii="仿宋" w:hAnsi="仿宋" w:eastAsia="仿宋"/>
          <w:sz w:val="28"/>
          <w:szCs w:val="28"/>
        </w:rPr>
        <w:t>）</w:t>
      </w:r>
      <w:r>
        <w:rPr>
          <w:rFonts w:hint="eastAsia" w:ascii="仿宋" w:hAnsi="仿宋" w:eastAsia="仿宋" w:cs="仿宋"/>
          <w:sz w:val="28"/>
          <w:szCs w:val="28"/>
        </w:rPr>
        <w:t>完成全国第五批居家和社区养老服务改革试点任务。</w:t>
      </w:r>
    </w:p>
    <w:p>
      <w:pPr>
        <w:spacing w:line="360" w:lineRule="auto"/>
        <w:ind w:firstLine="560" w:firstLineChars="200"/>
        <w:rPr>
          <w:rFonts w:ascii="仿宋" w:hAnsi="仿宋" w:eastAsia="仿宋" w:cs="仿宋"/>
          <w:sz w:val="28"/>
          <w:szCs w:val="28"/>
        </w:rPr>
      </w:pPr>
      <w:r>
        <w:rPr>
          <w:rFonts w:hint="eastAsia" w:ascii="仿宋" w:hAnsi="仿宋" w:eastAsia="仿宋"/>
          <w:sz w:val="28"/>
          <w:szCs w:val="28"/>
        </w:rPr>
        <w:t>（</w:t>
      </w:r>
      <w:r>
        <w:rPr>
          <w:rFonts w:ascii="仿宋" w:hAnsi="仿宋" w:eastAsia="仿宋"/>
          <w:sz w:val="28"/>
          <w:szCs w:val="28"/>
        </w:rPr>
        <w:t>7</w:t>
      </w:r>
      <w:r>
        <w:rPr>
          <w:rFonts w:hint="eastAsia" w:ascii="仿宋" w:hAnsi="仿宋" w:eastAsia="仿宋"/>
          <w:sz w:val="28"/>
          <w:szCs w:val="28"/>
        </w:rPr>
        <w:t>）</w:t>
      </w:r>
      <w:r>
        <w:rPr>
          <w:rFonts w:hint="eastAsia" w:ascii="仿宋" w:hAnsi="仿宋" w:eastAsia="仿宋" w:cs="仿宋"/>
          <w:sz w:val="28"/>
          <w:szCs w:val="28"/>
        </w:rPr>
        <w:t>完成河南省智慧养老服务平台建设试点任务。</w:t>
      </w:r>
    </w:p>
    <w:p>
      <w:pPr>
        <w:spacing w:line="360" w:lineRule="auto"/>
        <w:ind w:firstLine="560" w:firstLineChars="200"/>
        <w:rPr>
          <w:rFonts w:ascii="仿宋" w:hAnsi="仿宋" w:eastAsia="仿宋" w:cs="仿宋"/>
          <w:sz w:val="28"/>
          <w:szCs w:val="28"/>
        </w:rPr>
      </w:pPr>
      <w:r>
        <w:rPr>
          <w:rFonts w:hint="eastAsia" w:ascii="仿宋" w:hAnsi="仿宋" w:eastAsia="仿宋"/>
          <w:sz w:val="28"/>
          <w:szCs w:val="28"/>
        </w:rPr>
        <w:t>（</w:t>
      </w:r>
      <w:r>
        <w:rPr>
          <w:rFonts w:ascii="仿宋" w:hAnsi="仿宋" w:eastAsia="仿宋"/>
          <w:sz w:val="28"/>
          <w:szCs w:val="28"/>
        </w:rPr>
        <w:t>8</w:t>
      </w:r>
      <w:r>
        <w:rPr>
          <w:rFonts w:hint="eastAsia" w:ascii="仿宋" w:hAnsi="仿宋" w:eastAsia="仿宋"/>
          <w:sz w:val="28"/>
          <w:szCs w:val="28"/>
        </w:rPr>
        <w:t>）</w:t>
      </w:r>
      <w:r>
        <w:rPr>
          <w:rFonts w:hint="eastAsia" w:ascii="仿宋" w:hAnsi="仿宋" w:eastAsia="仿宋" w:cs="仿宋"/>
          <w:sz w:val="28"/>
          <w:szCs w:val="28"/>
        </w:rPr>
        <w:t>建立沙河沿岸康养项目体系。示范区境内大沙河湿地公园环境优美，寨卜昌、北西尚、鹿村等革命传统底蕴深厚，两程理学尊师敬老历史源远流长。结合示范区的特点，制定招商政策，加大引资力度，提供基础设施建设资金，并与知名养老服务企业合作，打造融基础养老、医疗服务、休闲健身于一体的康养主题项目。</w:t>
      </w:r>
    </w:p>
    <w:p>
      <w:pPr>
        <w:pStyle w:val="3"/>
      </w:pPr>
      <w:bookmarkStart w:id="26" w:name="_Toc455089453"/>
      <w:bookmarkStart w:id="27" w:name="_Toc80116046"/>
      <w:r>
        <w:rPr>
          <w:rFonts w:hint="eastAsia"/>
        </w:rPr>
        <w:t xml:space="preserve">第三节 </w:t>
      </w:r>
      <w:r>
        <w:t xml:space="preserve"> 基层社会治理体系</w:t>
      </w:r>
      <w:bookmarkEnd w:id="26"/>
      <w:bookmarkEnd w:id="27"/>
    </w:p>
    <w:p>
      <w:pPr>
        <w:spacing w:line="360" w:lineRule="auto"/>
        <w:ind w:firstLine="560" w:firstLineChars="200"/>
        <w:rPr>
          <w:rFonts w:ascii="仿宋" w:hAnsi="仿宋" w:eastAsia="仿宋" w:cs="仿宋"/>
          <w:color w:val="FF0000"/>
          <w:sz w:val="28"/>
          <w:szCs w:val="28"/>
        </w:rPr>
      </w:pPr>
      <w:r>
        <w:rPr>
          <w:rFonts w:hint="eastAsia" w:ascii="仿宋" w:hAnsi="仿宋" w:eastAsia="仿宋" w:cs="仿宋"/>
          <w:sz w:val="28"/>
          <w:szCs w:val="28"/>
        </w:rPr>
        <w:t>做好全市村（居）民委员会换届选举工作。依法做好村（居）民委员会集中换届，优化村（居）委员会班子队伍结构。贯彻落实《关于加强和完善城乡社区治理的实施意见》，大力推进城乡社区治理体系和治理能力现代化建设。完善村（居）民自治制度，健全民主选举、民主协商、民主决策、民主管理、民主监督工作运行机制。注重加强和完善城乡社区协商，深化推进“四议两公开”工作法和“一征三议两公开”工作法，健全自治、法治、德治“三治融合”的治理体系，规范提升党群议事会等协商议事制度，加快形成民事民议、民事民办、民事民定的多层次基层协商格局。指导各县（市）区按程序修订完善村规民约和居民公约，充分发挥其弘扬公序良俗、助推基层社会治理中的积极作用，提高城乡居民自我管理、自我服务、自我教育、自我监督能力。以完善制度、规范管理、建立长效工作机制为重点，切实履行部门职责，全面完成村民自治领域扫黑除恶专项斗争各项任务。持续开展“一有七中心”规范化社区创建工作，“十四五”期间，新建</w:t>
      </w:r>
      <w:r>
        <w:rPr>
          <w:rFonts w:ascii="仿宋" w:hAnsi="仿宋" w:eastAsia="仿宋" w:cs="仿宋"/>
          <w:sz w:val="28"/>
          <w:szCs w:val="28"/>
        </w:rPr>
        <w:t>51</w:t>
      </w:r>
      <w:r>
        <w:rPr>
          <w:rFonts w:hint="eastAsia" w:ascii="仿宋" w:hAnsi="仿宋" w:eastAsia="仿宋" w:cs="仿宋"/>
          <w:sz w:val="28"/>
          <w:szCs w:val="28"/>
        </w:rPr>
        <w:t>个省级规范化社区，巩固扩大社区服务阵地，加强部门协同，理清权责边界，推进社区减负增效，切实增强服务功能。整合社区公共服务信息资源，加快推进社区公共服务综合信息平台建设，实行“前台一口受理、后台分工协同”运行模式。进一步总结推广解放区“334楼院协商治理模式”和山阳区“党建360工作法”，加快建设现代化宜居幸福社区。</w:t>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表1</w:t>
      </w:r>
      <w:r>
        <w:rPr>
          <w:rFonts w:ascii="仿宋" w:hAnsi="仿宋" w:eastAsia="仿宋" w:cs="仿宋"/>
          <w:sz w:val="28"/>
          <w:szCs w:val="28"/>
        </w:rPr>
        <w:t>4</w:t>
      </w:r>
      <w:r>
        <w:rPr>
          <w:rFonts w:ascii="仿宋" w:hAnsi="仿宋" w:eastAsia="仿宋" w:cs="仿宋"/>
          <w:color w:val="FF0000"/>
          <w:sz w:val="28"/>
          <w:szCs w:val="28"/>
        </w:rPr>
        <w:t xml:space="preserve">  </w:t>
      </w:r>
      <w:r>
        <w:rPr>
          <w:rFonts w:hint="eastAsia" w:ascii="仿宋" w:hAnsi="仿宋" w:eastAsia="仿宋" w:cs="仿宋"/>
          <w:sz w:val="28"/>
          <w:szCs w:val="28"/>
        </w:rPr>
        <w:t>“十四五”计划新建规范化社区</w:t>
      </w:r>
    </w:p>
    <w:tbl>
      <w:tblPr>
        <w:tblStyle w:val="15"/>
        <w:tblW w:w="9180" w:type="dxa"/>
        <w:tblInd w:w="0" w:type="dxa"/>
        <w:tblLayout w:type="autofit"/>
        <w:tblCellMar>
          <w:top w:w="0" w:type="dxa"/>
          <w:left w:w="108" w:type="dxa"/>
          <w:bottom w:w="0" w:type="dxa"/>
          <w:right w:w="108" w:type="dxa"/>
        </w:tblCellMar>
      </w:tblPr>
      <w:tblGrid>
        <w:gridCol w:w="1500"/>
        <w:gridCol w:w="640"/>
        <w:gridCol w:w="640"/>
        <w:gridCol w:w="640"/>
        <w:gridCol w:w="640"/>
        <w:gridCol w:w="640"/>
        <w:gridCol w:w="640"/>
        <w:gridCol w:w="640"/>
        <w:gridCol w:w="640"/>
        <w:gridCol w:w="640"/>
        <w:gridCol w:w="640"/>
        <w:gridCol w:w="640"/>
        <w:gridCol w:w="640"/>
      </w:tblGrid>
      <w:tr>
        <w:tblPrEx>
          <w:tblCellMar>
            <w:top w:w="0" w:type="dxa"/>
            <w:left w:w="108" w:type="dxa"/>
            <w:bottom w:w="0" w:type="dxa"/>
            <w:right w:w="108" w:type="dxa"/>
          </w:tblCellMar>
        </w:tblPrEx>
        <w:trPr>
          <w:trHeight w:val="555" w:hRule="atLeast"/>
          <w:tblHeader/>
        </w:trPr>
        <w:tc>
          <w:tcPr>
            <w:tcW w:w="1500"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w:t>
            </w:r>
            <w:r>
              <w:rPr>
                <w:rFonts w:ascii="仿宋" w:hAnsi="仿宋" w:eastAsia="仿宋" w:cs="宋体"/>
                <w:kern w:val="0"/>
                <w:sz w:val="20"/>
                <w:szCs w:val="20"/>
              </w:rPr>
              <w:t xml:space="preserve">      </w:t>
            </w:r>
            <w:r>
              <w:rPr>
                <w:rFonts w:hint="eastAsia" w:ascii="仿宋" w:hAnsi="仿宋" w:eastAsia="仿宋" w:cs="宋体"/>
                <w:kern w:val="0"/>
                <w:sz w:val="20"/>
                <w:szCs w:val="20"/>
              </w:rPr>
              <w:t>县区</w:t>
            </w:r>
          </w:p>
          <w:p>
            <w:pPr>
              <w:widowControl/>
              <w:rPr>
                <w:rFonts w:ascii="仿宋" w:hAnsi="仿宋" w:eastAsia="仿宋" w:cs="宋体"/>
                <w:kern w:val="0"/>
                <w:sz w:val="20"/>
                <w:szCs w:val="20"/>
              </w:rPr>
            </w:pPr>
            <w:r>
              <w:rPr>
                <w:rFonts w:hint="eastAsia" w:ascii="仿宋" w:hAnsi="仿宋" w:eastAsia="仿宋" w:cs="宋体"/>
                <w:kern w:val="0"/>
                <w:sz w:val="20"/>
                <w:szCs w:val="20"/>
              </w:rPr>
              <w:t>阶段</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解放区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山阳区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中站区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马村区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示范区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沁阳市</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孟州市</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温县</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博爱县</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武陟县</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修武县</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sz w:val="20"/>
                <w:szCs w:val="20"/>
              </w:rPr>
              <w:t>合计</w:t>
            </w:r>
          </w:p>
        </w:tc>
      </w:tr>
      <w:tr>
        <w:tblPrEx>
          <w:tblCellMar>
            <w:top w:w="0" w:type="dxa"/>
            <w:left w:w="108" w:type="dxa"/>
            <w:bottom w:w="0" w:type="dxa"/>
            <w:right w:w="108" w:type="dxa"/>
          </w:tblCellMar>
        </w:tblPrEx>
        <w:trPr>
          <w:trHeight w:val="555"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现阶段</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27</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8</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19</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114</w:t>
            </w:r>
          </w:p>
        </w:tc>
      </w:tr>
      <w:tr>
        <w:tblPrEx>
          <w:tblCellMar>
            <w:top w:w="0" w:type="dxa"/>
            <w:left w:w="108" w:type="dxa"/>
            <w:bottom w:w="0" w:type="dxa"/>
            <w:right w:w="108" w:type="dxa"/>
          </w:tblCellMar>
        </w:tblPrEx>
        <w:trPr>
          <w:trHeight w:val="555"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2021年计划</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29</w:t>
            </w:r>
          </w:p>
        </w:tc>
      </w:tr>
      <w:tr>
        <w:tblPrEx>
          <w:tblCellMar>
            <w:top w:w="0" w:type="dxa"/>
            <w:left w:w="108" w:type="dxa"/>
            <w:bottom w:w="0" w:type="dxa"/>
            <w:right w:w="108" w:type="dxa"/>
          </w:tblCellMar>
        </w:tblPrEx>
        <w:trPr>
          <w:trHeight w:val="555"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2022年计划</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6</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22</w:t>
            </w:r>
          </w:p>
        </w:tc>
      </w:tr>
      <w:tr>
        <w:tblPrEx>
          <w:tblCellMar>
            <w:top w:w="0" w:type="dxa"/>
            <w:left w:w="108" w:type="dxa"/>
            <w:bottom w:w="0" w:type="dxa"/>
            <w:right w:w="108" w:type="dxa"/>
          </w:tblCellMar>
        </w:tblPrEx>
        <w:trPr>
          <w:trHeight w:val="555"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合计</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23</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11</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5</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10</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14</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6</w:t>
            </w:r>
          </w:p>
        </w:tc>
        <w:tc>
          <w:tcPr>
            <w:tcW w:w="6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ascii="仿宋" w:hAnsi="仿宋" w:eastAsia="仿宋" w:cs="宋体"/>
                <w:kern w:val="0"/>
                <w:sz w:val="20"/>
                <w:szCs w:val="20"/>
              </w:rPr>
              <w:t>165</w:t>
            </w:r>
          </w:p>
        </w:tc>
      </w:tr>
    </w:tbl>
    <w:p>
      <w:pPr>
        <w:spacing w:line="360" w:lineRule="auto"/>
        <w:ind w:firstLine="420" w:firstLineChars="200"/>
        <w:jc w:val="left"/>
        <w:rPr>
          <w:rFonts w:ascii="仿宋" w:hAnsi="仿宋" w:eastAsia="仿宋" w:cs="仿宋"/>
          <w:color w:val="FF0000"/>
          <w:sz w:val="28"/>
          <w:szCs w:val="28"/>
        </w:rPr>
      </w:pPr>
      <w:r>
        <w:drawing>
          <wp:inline distT="0" distB="0" distL="0" distR="0">
            <wp:extent cx="5560695" cy="2477135"/>
            <wp:effectExtent l="0" t="0" r="1905" b="1841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图1</w:t>
      </w:r>
      <w:r>
        <w:rPr>
          <w:rFonts w:ascii="仿宋" w:hAnsi="仿宋" w:eastAsia="仿宋" w:cs="仿宋"/>
          <w:sz w:val="28"/>
          <w:szCs w:val="28"/>
        </w:rPr>
        <w:t xml:space="preserve">1  </w:t>
      </w:r>
      <w:r>
        <w:rPr>
          <w:rFonts w:hint="eastAsia" w:ascii="仿宋" w:hAnsi="仿宋" w:eastAsia="仿宋" w:cs="仿宋"/>
          <w:sz w:val="28"/>
          <w:szCs w:val="28"/>
        </w:rPr>
        <w:t>规范化社区建设分布情况</w:t>
      </w:r>
    </w:p>
    <w:p>
      <w:pPr>
        <w:pStyle w:val="3"/>
      </w:pPr>
      <w:bookmarkStart w:id="28" w:name="_Toc455089454"/>
      <w:bookmarkStart w:id="29" w:name="_Toc80116047"/>
      <w:r>
        <w:rPr>
          <w:rFonts w:hint="eastAsia"/>
        </w:rPr>
        <w:t xml:space="preserve">第四节 </w:t>
      </w:r>
      <w:r>
        <w:t xml:space="preserve"> 社会组织管理体系</w:t>
      </w:r>
      <w:bookmarkEnd w:id="28"/>
      <w:bookmarkEnd w:id="29"/>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深化社会组织登记改革，在全市形成统一登记、各司其职、协调配合、分级负责、依法监管的社会组织管理制度，建立完善政社分开、权责明确、依法自治的现代社会组织体制，充分发挥社会组织在国家治理体系和治理能力现代化中的积极作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培育发展。实施社会组织孵化培育工程，重点培育和优先发展行业协会商会类、科技类、公益慈善类、城乡社区服务类社会组织。推动社会组织承接政府转移职能和购买服务，建立健全社会组织服务制度、社会组织评估制度、社会组织内部约束制度，增强社会组织活力。</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政策引导。加强党对社会组织工作的领导，实现党的组织和党的工作在社会组织有效覆盖。建立健全社会组织人才培养机制，打造高素质、专业化、职业化社会组织人才队伍。健全政府向社会组织购买服务制度和动态赋权机制，及时制定并动态发布可供社会力量参与的需求“菜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监督管理。全面推开行业协会商会脱钩工作，切实做好脱钩行业协会商会“五分离、五规范”，确保各个脱钩事项不落空。不断加强对行业协会商会的综合监管，同步推动建立和完善综合监管体系，着力加强社会组织登记管理信息化建设，优化年检年报工作，强化“双随机、一公开”监管，加大执法工作力度，打击整治非法社会组织，依法查处社会组织违法行为。做好社会组织信用体系建设，推动守信联合激励和失信联合惩戒。配合做好全国社会组织法人库建设。建立防范化解重大风险的长效机制，严格社会组织登记审批，加强事中事后监管，引导社会组织加强自身建设，避免触碰政策红线，让社会组织真正成为让党放心、受人民群众欢迎、在行业领域和公益事业中发挥积极作用的重要力量。</w:t>
      </w:r>
    </w:p>
    <w:p>
      <w:pPr>
        <w:pStyle w:val="3"/>
      </w:pPr>
      <w:bookmarkStart w:id="30" w:name="_Toc80116048"/>
      <w:r>
        <w:rPr>
          <w:rFonts w:hint="eastAsia"/>
        </w:rPr>
        <w:t xml:space="preserve">第五节 </w:t>
      </w:r>
      <w:r>
        <w:t xml:space="preserve"> </w:t>
      </w:r>
      <w:r>
        <w:rPr>
          <w:rFonts w:hint="eastAsia"/>
        </w:rPr>
        <w:t>儿童福利服务体系</w:t>
      </w:r>
      <w:bookmarkEnd w:id="30"/>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继续落实国家孤儿保障相关政策，建立困境儿童福利保障制度，全面实施儿童福利服务提升行动。依法依规开展收养登记工作，组织实施“残疾孤儿手术康复明天计划”及“福彩圆梦·孤儿助学工程”。着力提高儿童福利服务水平和质量，加大公共投入力度，基本建立起以福利机构服务为主要手段，孤弃儿童、困境儿童、事实无人抚养儿童及农村留守儿童为主要对象，面向全体有需要的儿童，建立起政府主导、社会参与，机构、社区、家庭、个人相互协调，适应经济社会发展水平的新型儿童福利服务体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加强未成年人保护机构建设，指导基层开展儿童福利工作。依托救助管理机构或福利机构成立未成年人保护中心，2025年底之前，市县两级均要建成一个未成年人保护中心，实现全覆盖并充分发挥作用，负责为乡镇人民政府（街道办事处）、村（居）民委员会推进农村留守儿童关爱保护、困境儿童保障、开展监护监督等工作提供政策指导和技术支持，负责指导开展农村留守儿童和困境儿童基本信息摸底排查、登记建档和动态更新，组织或指导开展儿童督导员、儿童主任业务培训、未成年人保护政策宣传等。</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进一步加强儿童福利机构建设和管理，不断提高服务保障能力。为适应新形势下儿童福利工作新要求，“十四五”期间，继续加强市儿童福利院基础设施和配套设施建设，不断提高儿童福利机构养护、医疗、康复、教育能力。已建成但未安置养育儿童的县级儿童福利机构，要与未成年人救助保护机构进行人员资源整合，探索开展农村留守儿童、困境儿童、散居孤儿、社会残疾儿童及其家庭的临时照料、康复指导、特殊教育、精神慰藉、定期探访、宣传培训等工作，不再接收安置孤弃儿童，新发现的需要接收安置的孤弃儿童，直接按程序交由市儿童福利院接收安置。没有机构编制、设施设备和专业护理队伍缺乏，不具备集中养育条件且养育儿童较少的县级儿童福利机构，按照有关规定，要向市儿童福利院移交所抚养的孤弃儿童，不再开展集中养育工作，转型向社会散居孤儿、事实无人抚养儿童和其他困境儿童等提供关爱服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继续加大“儿童之家”建设力度，建立健全基层农村留守儿童困境儿童关爱服务体系。依托村（居）民委员会、学校和农村幸福院等现有资源，规划建设与当地经济社会发展水平相适应的“儿童之家”，配备课桌、图书、玩具等教育和娱乐活动用品，为儿童及其家庭提供教育、娱乐和关爱帮扶的场所。每家“儿童之家”场地面积应不低于30平米，配备开展活动所需的基本文体设施，适量的儿童基本卫生用品，必要的办公基本设备。力争2025年底前，全市村级儿童之家应建尽建，健全以“儿童之家”为活动场所，以乡镇儿童督导员、村儿童主任队伍为骨干的儿童关爱服务网络。</w:t>
      </w:r>
    </w:p>
    <w:p>
      <w:pPr>
        <w:pStyle w:val="3"/>
      </w:pPr>
      <w:bookmarkStart w:id="31" w:name="_Toc80116049"/>
      <w:r>
        <w:rPr>
          <w:rFonts w:hint="eastAsia"/>
        </w:rPr>
        <w:t xml:space="preserve">第六节 </w:t>
      </w:r>
      <w:r>
        <w:t xml:space="preserve"> </w:t>
      </w:r>
      <w:r>
        <w:rPr>
          <w:rFonts w:hint="eastAsia"/>
        </w:rPr>
        <w:t>慈善事业和社会工作体系</w:t>
      </w:r>
      <w:bookmarkEnd w:id="31"/>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贯彻落实《慈善法》，加快发展慈善事业，打造公益慈善项目品牌，积极培育网络慈善等新形态，支持多种形式募捐活动。加强慈善组织建设，稳妥推进慈善组织直接登记，优先发展具有扶贫济困功能的各类慈善组织，鼓励政府购买服务、公益创投等多种形式，支持慈善组织发展。指导慈善组织完善内部治理结构，加强事中事后监管，依法依规开展募捐活动，严格规范使用捐赠款物，加大信息公开，增强社会诚信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福利彩票。贯彻落实《彩票管理条例》，秉承“扶老、助残、救孤、济困”发行宗旨，促进“安全运行、健康发展”，大力推进“阳光福彩”建设，努力形成“四强四优”，即机构更强、队伍更强、机制更强、管理更强和游戏更优、渠道更优、服务更优、形象更优的良好发展格局，力争到2025年，福彩发行突破3亿元/年大关，5年完成15亿元销售目标任务。加大彩票公益金对社会福利和相关公益事业的支持力度，着力提高彩票公益金使用效益。</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社会工作。加强社会工作专业人才队伍建设，大力培育社会工作服务机构。加强社区工作岗位开发，促进专业社会工作在各领域的推广。开展乡镇（街道）社会工作服务站项目建设，“十四五”期间，实现“一县一中心、一乡镇（街道）一站点，村（社区）都有社工服务”，不断扩大社会工作服务可及范围和受益人群，持续增强社会工作专业作用和服务成效。</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志愿服务。大力发展志愿服务组织，完善志愿服务网络体系，建立健全志愿者招募、注册、培训、管理和志愿服务记录、回馈、保障、荣誉嘉奖制度，壮大志愿者队伍。建立志愿服务项目化运作机制，完善社会工作者与志愿者协同服务机制，鼓励支持志愿服务组织和志愿者参与扶贫、养老等重点领域志愿服务，促进志愿服务活动全面深入开展。</w:t>
      </w:r>
      <w:bookmarkStart w:id="32" w:name="_Toc455089456"/>
    </w:p>
    <w:p>
      <w:pPr>
        <w:pStyle w:val="3"/>
      </w:pPr>
      <w:bookmarkStart w:id="33" w:name="_Toc80116050"/>
      <w:r>
        <w:rPr>
          <w:rFonts w:hint="eastAsia"/>
        </w:rPr>
        <w:t xml:space="preserve">第七节 </w:t>
      </w:r>
      <w:r>
        <w:t xml:space="preserve"> </w:t>
      </w:r>
      <w:r>
        <w:rPr>
          <w:rFonts w:hint="eastAsia"/>
        </w:rPr>
        <w:t>区划和地名公共服务体系</w:t>
      </w:r>
      <w:bookmarkEnd w:id="32"/>
      <w:bookmarkEnd w:id="33"/>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主动适应新型城镇化建设，配合区域发展战略布局，加快行政区划管理体制改革，完善内容丰富、标准规范、方便及时的公共地名服务体系，积极服务全市社会经济建设，不断完善行政区域界线管理机制，推进平安边界建设。</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rPr>
        <w:t>.行政区划。着眼区域协调发展需要，编制行政区划设置规划，审慎稳妥开展区划调整，积极探索县城体制改革，推进武陟县依法有序开展撤县设市工作。严格行政区划调整审核审批程序，依据设镇设街道标准，稳妥推进撤乡镇设街道，支持做大做强一批中心镇，激发区域经济发展活力。</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地名服务。健全地名标准体系，完善地名管理工作机制，完成全国地名地址库试点建设，拓展服务功能，提升工作水平。深化地名普查成果转化，完成我市地名图、地名录、地名词典和地名志编纂工作。积极推进地名文化建设，深化地名公共服务，切实加强地名文化保护计划。</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3</w:t>
      </w:r>
      <w:r>
        <w:rPr>
          <w:rFonts w:hint="eastAsia" w:ascii="仿宋" w:hAnsi="仿宋" w:eastAsia="仿宋" w:cs="仿宋"/>
          <w:sz w:val="28"/>
          <w:szCs w:val="28"/>
        </w:rPr>
        <w:t>.界线管理。贯彻落实国务院《行政区域界线管理条例》，完善行政区域界线管理工作机制，落实界线勘定、界桩设置等标准，“十四五”期间，各县（市）区将县级界桩全部更换成新型界桩。加强各项界线联检工作，完成省界联检任务。健全界线纠纷应急处理机制，深化平安边界创建活动，全面推进平安边界建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w:t>
      </w:r>
      <w:r>
        <w:rPr>
          <w:rFonts w:ascii="仿宋" w:hAnsi="仿宋" w:eastAsia="仿宋" w:cs="仿宋"/>
          <w:sz w:val="28"/>
          <w:szCs w:val="28"/>
        </w:rPr>
        <w:t>.</w:t>
      </w:r>
      <w:r>
        <w:rPr>
          <w:rFonts w:hint="eastAsia" w:ascii="仿宋" w:hAnsi="仿宋" w:eastAsia="仿宋" w:cs="仿宋"/>
          <w:sz w:val="28"/>
          <w:szCs w:val="28"/>
        </w:rPr>
        <w:t>焦作市城区行政区划规划</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考虑到社会积极发展与布局及历史基础等因素及条件，根据《焦作市中心城市组团式发展总体规划（2011-2030年）》提出构建“一核四组团”，推荐“三化”协调发展，建立“六大”支持体系（构建城乡统筹的新型城镇化支撑体系、构建有竞争力的现代化支撑体系、构建以人为本的和谐社会基础设施和公共服务设施支撑体系、构建现代化的综合交通支撑体系、构建充满活力的体制机制支撑体系、构建可持续发展的生态系统建设支撑体系），努力夯实作为中原经济区核心城市地位，发挥辐射豫西北、晋东南地区的主导地位。</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5</w:t>
      </w:r>
      <w:r>
        <w:rPr>
          <w:rFonts w:hint="eastAsia" w:ascii="仿宋" w:hAnsi="仿宋" w:eastAsia="仿宋" w:cs="仿宋"/>
          <w:sz w:val="28"/>
          <w:szCs w:val="28"/>
        </w:rPr>
        <w:t>.完成武陟县撤县设市。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（1）武陟县行政区划调整的必要性</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焦作从统筹城乡协调发展的目标出发，构建中心城市——组团——特定功能区——中心镇——新型农村社区，共五级新型城镇体系。四组团为武陟组团、沁阳组团、温县组团和孟州组团，其中武陟组团的功能定位为怀药、食品、饲料等农副产品加工基地、造纸工业基地，作为焦作对接郑州的前沿，承接郑州产业转移，也是南部轻工业产业带、十大产业集聚区和造纸及设备制造产业集群。</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武陟县地处豫北怀川平原，位于河南省西北部，黄河北岸，与郑州隔河相望，是焦作市的南大门，与省会郑州隔河相望。</w:t>
      </w:r>
      <w:r>
        <w:rPr>
          <w:rFonts w:ascii="仿宋" w:hAnsi="仿宋" w:eastAsia="仿宋" w:cs="仿宋"/>
          <w:sz w:val="28"/>
          <w:szCs w:val="28"/>
        </w:rPr>
        <w:t>2019</w:t>
      </w:r>
      <w:r>
        <w:rPr>
          <w:rFonts w:hint="eastAsia" w:ascii="仿宋" w:hAnsi="仿宋" w:eastAsia="仿宋" w:cs="仿宋"/>
          <w:sz w:val="28"/>
          <w:szCs w:val="28"/>
        </w:rPr>
        <w:t>年，武陟县完成地区生产总值突破</w:t>
      </w:r>
      <w:r>
        <w:rPr>
          <w:rFonts w:ascii="仿宋" w:hAnsi="仿宋" w:eastAsia="仿宋" w:cs="仿宋"/>
          <w:sz w:val="28"/>
          <w:szCs w:val="28"/>
        </w:rPr>
        <w:t>463.3</w:t>
      </w:r>
      <w:r>
        <w:rPr>
          <w:rFonts w:hint="eastAsia" w:ascii="仿宋" w:hAnsi="仿宋" w:eastAsia="仿宋" w:cs="仿宋"/>
          <w:sz w:val="28"/>
          <w:szCs w:val="28"/>
        </w:rPr>
        <w:t>亿元，增长</w:t>
      </w:r>
      <w:r>
        <w:rPr>
          <w:rFonts w:ascii="仿宋" w:hAnsi="仿宋" w:eastAsia="仿宋" w:cs="仿宋"/>
          <w:sz w:val="28"/>
          <w:szCs w:val="28"/>
        </w:rPr>
        <w:t>7.9%</w:t>
      </w:r>
      <w:r>
        <w:rPr>
          <w:rFonts w:hint="eastAsia" w:ascii="仿宋" w:hAnsi="仿宋" w:eastAsia="仿宋" w:cs="仿宋"/>
          <w:sz w:val="28"/>
          <w:szCs w:val="28"/>
        </w:rPr>
        <w:t>，规模以上工业增加值增长</w:t>
      </w:r>
      <w:r>
        <w:rPr>
          <w:rFonts w:ascii="仿宋" w:hAnsi="仿宋" w:eastAsia="仿宋" w:cs="仿宋"/>
          <w:sz w:val="28"/>
          <w:szCs w:val="28"/>
        </w:rPr>
        <w:t>9%</w:t>
      </w:r>
      <w:r>
        <w:rPr>
          <w:rFonts w:hint="eastAsia" w:ascii="仿宋" w:hAnsi="仿宋" w:eastAsia="仿宋" w:cs="仿宋"/>
          <w:sz w:val="28"/>
          <w:szCs w:val="28"/>
        </w:rPr>
        <w:t>，一般公共预算收入增长</w:t>
      </w:r>
      <w:r>
        <w:rPr>
          <w:rFonts w:ascii="仿宋" w:hAnsi="仿宋" w:eastAsia="仿宋" w:cs="仿宋"/>
          <w:sz w:val="28"/>
          <w:szCs w:val="28"/>
        </w:rPr>
        <w:t>10.9%</w:t>
      </w:r>
      <w:r>
        <w:rPr>
          <w:rFonts w:hint="eastAsia" w:ascii="仿宋" w:hAnsi="仿宋" w:eastAsia="仿宋" w:cs="仿宋"/>
          <w:sz w:val="28"/>
          <w:szCs w:val="28"/>
        </w:rPr>
        <w:t>，固定资产投资增长</w:t>
      </w:r>
      <w:r>
        <w:rPr>
          <w:rFonts w:ascii="仿宋" w:hAnsi="仿宋" w:eastAsia="仿宋" w:cs="仿宋"/>
          <w:sz w:val="28"/>
          <w:szCs w:val="28"/>
        </w:rPr>
        <w:t>12.4%</w:t>
      </w:r>
      <w:r>
        <w:rPr>
          <w:rFonts w:hint="eastAsia" w:ascii="仿宋" w:hAnsi="仿宋" w:eastAsia="仿宋" w:cs="仿宋"/>
          <w:sz w:val="28"/>
          <w:szCs w:val="28"/>
        </w:rPr>
        <w:t>，社会消费品零售总额增长</w:t>
      </w:r>
      <w:r>
        <w:rPr>
          <w:rFonts w:ascii="仿宋" w:hAnsi="仿宋" w:eastAsia="仿宋" w:cs="仿宋"/>
          <w:sz w:val="28"/>
          <w:szCs w:val="28"/>
        </w:rPr>
        <w:t>11%</w:t>
      </w:r>
      <w:r>
        <w:rPr>
          <w:rFonts w:hint="eastAsia" w:ascii="仿宋" w:hAnsi="仿宋" w:eastAsia="仿宋" w:cs="仿宋"/>
          <w:sz w:val="28"/>
          <w:szCs w:val="28"/>
        </w:rPr>
        <w:t>，三次产业结构由</w:t>
      </w:r>
      <w:r>
        <w:rPr>
          <w:rFonts w:ascii="仿宋" w:hAnsi="仿宋" w:eastAsia="仿宋" w:cs="仿宋"/>
          <w:sz w:val="28"/>
          <w:szCs w:val="28"/>
        </w:rPr>
        <w:t>9.9</w:t>
      </w:r>
      <w:r>
        <w:rPr>
          <w:rFonts w:hint="eastAsia" w:ascii="仿宋" w:hAnsi="仿宋" w:eastAsia="仿宋" w:cs="仿宋"/>
          <w:sz w:val="28"/>
          <w:szCs w:val="28"/>
        </w:rPr>
        <w:t>：</w:t>
      </w:r>
      <w:r>
        <w:rPr>
          <w:rFonts w:ascii="仿宋" w:hAnsi="仿宋" w:eastAsia="仿宋" w:cs="仿宋"/>
          <w:sz w:val="28"/>
          <w:szCs w:val="28"/>
        </w:rPr>
        <w:t>58.3</w:t>
      </w:r>
      <w:r>
        <w:rPr>
          <w:rFonts w:hint="eastAsia" w:ascii="仿宋" w:hAnsi="仿宋" w:eastAsia="仿宋" w:cs="仿宋"/>
          <w:sz w:val="28"/>
          <w:szCs w:val="28"/>
        </w:rPr>
        <w:t>：</w:t>
      </w:r>
      <w:r>
        <w:rPr>
          <w:rFonts w:ascii="仿宋" w:hAnsi="仿宋" w:eastAsia="仿宋" w:cs="仿宋"/>
          <w:sz w:val="28"/>
          <w:szCs w:val="28"/>
        </w:rPr>
        <w:t>31.8</w:t>
      </w:r>
      <w:r>
        <w:rPr>
          <w:rFonts w:hint="eastAsia" w:ascii="仿宋" w:hAnsi="仿宋" w:eastAsia="仿宋" w:cs="仿宋"/>
          <w:sz w:val="28"/>
          <w:szCs w:val="28"/>
        </w:rPr>
        <w:t>调整为</w:t>
      </w:r>
      <w:r>
        <w:rPr>
          <w:rFonts w:ascii="仿宋" w:hAnsi="仿宋" w:eastAsia="仿宋" w:cs="仿宋"/>
          <w:sz w:val="28"/>
          <w:szCs w:val="28"/>
        </w:rPr>
        <w:t>8.4</w:t>
      </w:r>
      <w:r>
        <w:rPr>
          <w:rFonts w:hint="eastAsia" w:ascii="仿宋" w:hAnsi="仿宋" w:eastAsia="仿宋" w:cs="仿宋"/>
          <w:sz w:val="28"/>
          <w:szCs w:val="28"/>
        </w:rPr>
        <w:t>：</w:t>
      </w:r>
      <w:r>
        <w:rPr>
          <w:rFonts w:ascii="仿宋" w:hAnsi="仿宋" w:eastAsia="仿宋" w:cs="仿宋"/>
          <w:sz w:val="28"/>
          <w:szCs w:val="28"/>
        </w:rPr>
        <w:t>56</w:t>
      </w:r>
      <w:r>
        <w:rPr>
          <w:rFonts w:hint="eastAsia" w:ascii="仿宋" w:hAnsi="仿宋" w:eastAsia="仿宋" w:cs="仿宋"/>
          <w:sz w:val="28"/>
          <w:szCs w:val="28"/>
        </w:rPr>
        <w:t>：</w:t>
      </w:r>
      <w:r>
        <w:rPr>
          <w:rFonts w:ascii="仿宋" w:hAnsi="仿宋" w:eastAsia="仿宋" w:cs="仿宋"/>
          <w:sz w:val="28"/>
          <w:szCs w:val="28"/>
        </w:rPr>
        <w:t>35.6</w:t>
      </w:r>
      <w:r>
        <w:rPr>
          <w:rFonts w:hint="eastAsia" w:ascii="仿宋" w:hAnsi="仿宋" w:eastAsia="仿宋" w:cs="仿宋"/>
          <w:sz w:val="28"/>
          <w:szCs w:val="28"/>
        </w:rPr>
        <w:t>。境内有国家级文物保护单位黄河故宫——嘉应观、五代古塔妙乐寺塔、明清佛道合一建筑千佛阁、祈雨胜地青龙宫，被列入第一批国家非物质文化遗产。武陟县作为焦作市域城镇体系中重要的节点城市和重点组团，通过武陟县撤县设市来加强相应的城市基础设施配套，对更好的发展边贸经济、更有力的推动当地发展，起到非常重要的作用；有助于提升县城的形象，促进经济发展，同时有助于区域内城镇间的分工协作、协调发展。</w:t>
      </w:r>
    </w:p>
    <w:p>
      <w:pPr>
        <w:spacing w:line="360" w:lineRule="auto"/>
        <w:ind w:firstLine="560" w:firstLineChars="200"/>
        <w:rPr>
          <w:rFonts w:ascii="仿宋" w:hAnsi="仿宋" w:eastAsia="仿宋" w:cs="仿宋"/>
          <w:sz w:val="28"/>
          <w:szCs w:val="28"/>
        </w:rPr>
      </w:pPr>
      <w:bookmarkStart w:id="34" w:name="bookmark21"/>
      <w:bookmarkEnd w:id="34"/>
      <w:r>
        <w:rPr>
          <w:rFonts w:hint="eastAsia" w:ascii="仿宋" w:hAnsi="仿宋" w:eastAsia="仿宋" w:cs="仿宋"/>
          <w:sz w:val="28"/>
          <w:szCs w:val="28"/>
        </w:rPr>
        <w:t>（2）武陟县行政区划调整总体构思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尽快申报撤销武陟县，设立县级武陟市。放宽城镇户籍限制，培育武陟市辐射带动能力，壮大焦作市中心城市组团式发展。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w:t>
      </w:r>
      <w:r>
        <w:rPr>
          <w:rFonts w:ascii="仿宋" w:hAnsi="仿宋" w:eastAsia="仿宋" w:cs="仿宋"/>
          <w:sz w:val="28"/>
          <w:szCs w:val="28"/>
        </w:rPr>
        <w:t>.</w:t>
      </w:r>
      <w:r>
        <w:rPr>
          <w:rFonts w:hint="eastAsia" w:ascii="仿宋" w:hAnsi="仿宋" w:eastAsia="仿宋" w:cs="仿宋"/>
          <w:sz w:val="28"/>
          <w:szCs w:val="28"/>
        </w:rPr>
        <w:t>焦作市乡镇（街道）行政区划规划</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一是推进撤乡设镇，优化市域城镇体系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焦作市乡镇总体数量多，根据现有乡镇行政区划的特征，将部分发展条件较好的乡设为镇，集聚发展合力，优化小城镇的空间布局。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积极稳妥地撤并调整现行乡镇行政区划。按照统筹规划、因地制宜、减少数量、精简机构、提高效率、促进发展的原则，积极稳妥地对现行乡镇行政区划进行调整撤并。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二是优化街道设置，增强基层治理能力</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随着近年来城镇化进程的加快，人民群众对优质公共服务的需求更为迫切，通过将部分发展条件较好的乡镇设立街道，把城郊的乡镇纳入到统一的城市管理体制中来，有益于进一步强化城市管理职能，提高行政管理效率，提升人民群众的幸福感、获得感。</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依据街道设立标准，统筹考虑地域面积、人口规模、人文历史、街区功能、居民认同等因素，优化街道设置，稳妥推进撤乡（镇）设立街道或街道调整工作。</w:t>
      </w:r>
    </w:p>
    <w:p>
      <w:pPr>
        <w:pStyle w:val="3"/>
      </w:pPr>
      <w:bookmarkStart w:id="35" w:name="_Toc455089457"/>
      <w:bookmarkStart w:id="36" w:name="_Toc80116051"/>
      <w:r>
        <w:rPr>
          <w:rFonts w:hint="eastAsia"/>
        </w:rPr>
        <w:t xml:space="preserve">第八节 </w:t>
      </w:r>
      <w:r>
        <w:t xml:space="preserve"> 社会事务管理体系</w:t>
      </w:r>
      <w:bookmarkEnd w:id="35"/>
      <w:bookmarkEnd w:id="36"/>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树立绿色发展理念，在全社会共同推进移风易俗，倡导婚丧礼俗改革，加快婚姻登记信息化建设，完善流浪乞讨人员救助管理机制，在全市构建绿色惠民、优质高效的社会事务管理服务体系。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殡葬改革事业。深化殡葬改革，大力推进移风易俗倡树文明殡葬新风工作，加强殡葬基础设施建设，提升殡葬服务能力，落实惠民殡葬政策，倡导文明祭祀、绿色祭扫，遏制薄养厚葬、大操大办、封建迷信、散埋乱葬等问题，节地生态安葬奖补制度惠及全体居民。</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殡仪馆建设。贯彻落实《河南省推进移风易俗倡树文明殡葬新风实施方案》和《关于加强公益性安葬设施建设管理工作的通知》精神，对焦作市殡仪馆、博爱县殡仪馆、沁阳市殡仪馆进行迁建，对孟州市殡仪馆、修武县殡仪馆、温县殡仪馆进行基础设施改造。博爱县殡仪馆选址在博爱县寨豁乡司窑村北2公里，岩鑫路东，占地面积40亩，建筑面积3200平方米，属新建项目，地类认定为荒地。建设内容包括火化操作间、尸体存放室、追悼厅、业务办理室、车库、办公楼、生活区、绿化用地等。沁阳殡仪馆计划将王召乡前兴福村南魏庄村地作为搬迁用地，占地32亩，投资估算5000万元。拟建设内容：办公楼、业务厅、骨灰堂、火化间、吊唁厅、停车场等，建筑面积约5000平方米。</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2</w:t>
      </w:r>
      <w:r>
        <w:rPr>
          <w:rFonts w:hint="eastAsia" w:ascii="仿宋" w:hAnsi="仿宋" w:eastAsia="仿宋" w:cs="仿宋"/>
          <w:sz w:val="28"/>
          <w:szCs w:val="28"/>
        </w:rPr>
        <w:t>）公益性安葬设施建设。推进全市县乡两级公益性公墓、骨灰堂等公益性骨灰安葬（放）设施建设。根据辐射区域人口数量、满足10年使用需求和集约化、园林化、生态化的原则，各县（市）区建成1个城市公益性公墓，占地面积不少于100亩；每个乡镇至少建成1个乡镇示范性农村公益性公墓，占地面积不少于50亩，公益性殡葬基础设施实现县乡两级全覆盖。推进农村公益性公墓建设，推行节地生态安葬。十四五期间，新建县级公益性公墓11个、乡镇公益性公墓49个。</w:t>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表</w:t>
      </w:r>
      <w:r>
        <w:rPr>
          <w:rFonts w:ascii="仿宋" w:hAnsi="仿宋" w:eastAsia="仿宋" w:cs="仿宋"/>
          <w:sz w:val="28"/>
          <w:szCs w:val="28"/>
        </w:rPr>
        <w:t xml:space="preserve">15  </w:t>
      </w:r>
      <w:r>
        <w:rPr>
          <w:rFonts w:hint="eastAsia" w:ascii="仿宋" w:hAnsi="仿宋" w:eastAsia="仿宋" w:cs="仿宋"/>
          <w:sz w:val="28"/>
          <w:szCs w:val="28"/>
        </w:rPr>
        <w:t>“十四五”新建公益性公墓</w:t>
      </w:r>
    </w:p>
    <w:tbl>
      <w:tblPr>
        <w:tblStyle w:val="15"/>
        <w:tblW w:w="9351" w:type="dxa"/>
        <w:jc w:val="center"/>
        <w:tblLayout w:type="autofit"/>
        <w:tblCellMar>
          <w:top w:w="0" w:type="dxa"/>
          <w:left w:w="108" w:type="dxa"/>
          <w:bottom w:w="0" w:type="dxa"/>
          <w:right w:w="108" w:type="dxa"/>
        </w:tblCellMar>
      </w:tblPr>
      <w:tblGrid>
        <w:gridCol w:w="719"/>
        <w:gridCol w:w="719"/>
        <w:gridCol w:w="719"/>
        <w:gridCol w:w="720"/>
        <w:gridCol w:w="719"/>
        <w:gridCol w:w="719"/>
        <w:gridCol w:w="720"/>
        <w:gridCol w:w="719"/>
        <w:gridCol w:w="719"/>
        <w:gridCol w:w="720"/>
        <w:gridCol w:w="719"/>
        <w:gridCol w:w="719"/>
        <w:gridCol w:w="720"/>
      </w:tblGrid>
      <w:tr>
        <w:tblPrEx>
          <w:tblCellMar>
            <w:top w:w="0" w:type="dxa"/>
            <w:left w:w="108" w:type="dxa"/>
            <w:bottom w:w="0" w:type="dxa"/>
            <w:right w:w="108" w:type="dxa"/>
          </w:tblCellMar>
        </w:tblPrEx>
        <w:trPr>
          <w:trHeight w:val="915"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县区</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解放区</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山阳区</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中站区</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马村区</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示范区</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沁阳市</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孟州市</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温县</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博爱县</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武陟县</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修武县</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合计</w:t>
            </w:r>
          </w:p>
        </w:tc>
      </w:tr>
      <w:tr>
        <w:tblPrEx>
          <w:tblCellMar>
            <w:top w:w="0" w:type="dxa"/>
            <w:left w:w="108" w:type="dxa"/>
            <w:bottom w:w="0" w:type="dxa"/>
            <w:right w:w="108" w:type="dxa"/>
          </w:tblCellMar>
        </w:tblPrEx>
        <w:trPr>
          <w:trHeight w:val="555" w:hRule="atLeast"/>
          <w:jc w:val="center"/>
        </w:trPr>
        <w:tc>
          <w:tcPr>
            <w:tcW w:w="7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县级</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r>
      <w:tr>
        <w:tblPrEx>
          <w:tblCellMar>
            <w:top w:w="0" w:type="dxa"/>
            <w:left w:w="108" w:type="dxa"/>
            <w:bottom w:w="0" w:type="dxa"/>
            <w:right w:w="108" w:type="dxa"/>
          </w:tblCellMar>
        </w:tblPrEx>
        <w:trPr>
          <w:trHeight w:val="555" w:hRule="atLeast"/>
          <w:jc w:val="center"/>
        </w:trPr>
        <w:tc>
          <w:tcPr>
            <w:tcW w:w="7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乡镇级</w:t>
            </w:r>
          </w:p>
        </w:tc>
        <w:tc>
          <w:tcPr>
            <w:tcW w:w="719"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宋体"/>
                <w:color w:val="000000"/>
                <w:kern w:val="0"/>
                <w:sz w:val="20"/>
                <w:szCs w:val="20"/>
              </w:rPr>
            </w:pPr>
            <w:r>
              <w:rPr>
                <w:rFonts w:hint="eastAsia" w:ascii="仿宋" w:hAnsi="仿宋" w:eastAsia="仿宋" w:cs="宋体"/>
                <w:color w:val="000000"/>
                <w:kern w:val="0"/>
                <w:sz w:val="20"/>
                <w:szCs w:val="20"/>
              </w:rPr>
              <w:t>　0</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20"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宋体"/>
                <w:color w:val="000000"/>
                <w:kern w:val="0"/>
                <w:sz w:val="20"/>
                <w:szCs w:val="20"/>
              </w:rPr>
            </w:pPr>
            <w:r>
              <w:rPr>
                <w:rFonts w:hint="eastAsia" w:ascii="仿宋" w:hAnsi="仿宋" w:eastAsia="仿宋" w:cs="宋体"/>
                <w:color w:val="000000"/>
                <w:kern w:val="0"/>
                <w:sz w:val="20"/>
                <w:szCs w:val="20"/>
              </w:rPr>
              <w:t>　0</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s="宋体"/>
                <w:color w:val="000000"/>
                <w:kern w:val="0"/>
                <w:sz w:val="20"/>
                <w:szCs w:val="20"/>
              </w:rPr>
              <w:t>9</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s="宋体"/>
                <w:color w:val="000000"/>
                <w:kern w:val="0"/>
                <w:sz w:val="20"/>
                <w:szCs w:val="20"/>
              </w:rPr>
              <w:t>7</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s="宋体"/>
                <w:color w:val="000000"/>
                <w:kern w:val="0"/>
                <w:sz w:val="20"/>
                <w:szCs w:val="20"/>
              </w:rPr>
              <w:t>8</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s="宋体"/>
                <w:color w:val="000000"/>
                <w:kern w:val="0"/>
                <w:sz w:val="20"/>
                <w:szCs w:val="20"/>
              </w:rPr>
              <w:t>49</w:t>
            </w:r>
          </w:p>
        </w:tc>
      </w:tr>
      <w:tr>
        <w:tblPrEx>
          <w:tblCellMar>
            <w:top w:w="0" w:type="dxa"/>
            <w:left w:w="108" w:type="dxa"/>
            <w:bottom w:w="0" w:type="dxa"/>
            <w:right w:w="108" w:type="dxa"/>
          </w:tblCellMar>
        </w:tblPrEx>
        <w:trPr>
          <w:trHeight w:val="555" w:hRule="atLeast"/>
          <w:jc w:val="center"/>
        </w:trPr>
        <w:tc>
          <w:tcPr>
            <w:tcW w:w="7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总计</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s="宋体"/>
                <w:color w:val="000000"/>
                <w:kern w:val="0"/>
                <w:sz w:val="20"/>
                <w:szCs w:val="20"/>
              </w:rPr>
              <w:t>10</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s="宋体"/>
                <w:color w:val="000000"/>
                <w:kern w:val="0"/>
                <w:sz w:val="20"/>
                <w:szCs w:val="20"/>
              </w:rPr>
              <w:t>8</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s="宋体"/>
                <w:color w:val="000000"/>
                <w:kern w:val="0"/>
                <w:sz w:val="20"/>
                <w:szCs w:val="20"/>
              </w:rPr>
              <w:t>9</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ascii="仿宋" w:hAnsi="仿宋" w:eastAsia="仿宋" w:cs="宋体"/>
                <w:color w:val="000000"/>
                <w:kern w:val="0"/>
                <w:sz w:val="20"/>
                <w:szCs w:val="20"/>
              </w:rPr>
              <w:t>60</w:t>
            </w:r>
          </w:p>
        </w:tc>
      </w:tr>
    </w:tbl>
    <w:p>
      <w:pPr>
        <w:spacing w:line="360" w:lineRule="auto"/>
        <w:ind w:firstLine="420" w:firstLineChars="200"/>
        <w:jc w:val="center"/>
        <w:rPr>
          <w:rFonts w:ascii="仿宋" w:hAnsi="仿宋" w:eastAsia="仿宋" w:cs="仿宋"/>
          <w:color w:val="FF0000"/>
          <w:sz w:val="28"/>
          <w:szCs w:val="28"/>
        </w:rPr>
      </w:pPr>
      <w:r>
        <w:drawing>
          <wp:inline distT="0" distB="0" distL="0" distR="0">
            <wp:extent cx="5355590" cy="3027680"/>
            <wp:effectExtent l="0" t="0" r="6985" b="1143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图1</w:t>
      </w:r>
      <w:r>
        <w:rPr>
          <w:rFonts w:ascii="仿宋" w:hAnsi="仿宋" w:eastAsia="仿宋" w:cs="仿宋"/>
          <w:sz w:val="28"/>
          <w:szCs w:val="28"/>
        </w:rPr>
        <w:t xml:space="preserve">2  </w:t>
      </w:r>
      <w:r>
        <w:rPr>
          <w:rFonts w:hint="eastAsia" w:ascii="仿宋" w:hAnsi="仿宋" w:eastAsia="仿宋" w:cs="仿宋"/>
          <w:sz w:val="28"/>
          <w:szCs w:val="28"/>
        </w:rPr>
        <w:t>新建公益性公墓分布情况</w:t>
      </w:r>
    </w:p>
    <w:p>
      <w:pPr>
        <w:spacing w:line="360" w:lineRule="auto"/>
        <w:ind w:firstLine="560" w:firstLineChars="200"/>
        <w:rPr>
          <w:rFonts w:ascii="仿宋" w:hAnsi="仿宋" w:eastAsia="仿宋" w:cs="仿宋"/>
          <w:sz w:val="28"/>
          <w:szCs w:val="28"/>
        </w:rPr>
      </w:pPr>
      <w:bookmarkStart w:id="37" w:name="_Toc455089459"/>
      <w:r>
        <w:rPr>
          <w:rFonts w:hint="eastAsia" w:ascii="仿宋" w:hAnsi="仿宋" w:eastAsia="仿宋" w:cs="仿宋"/>
          <w:sz w:val="28"/>
          <w:szCs w:val="28"/>
        </w:rPr>
        <w:t>（</w:t>
      </w:r>
      <w:r>
        <w:rPr>
          <w:rFonts w:ascii="仿宋" w:hAnsi="仿宋" w:eastAsia="仿宋" w:cs="仿宋"/>
          <w:sz w:val="28"/>
          <w:szCs w:val="28"/>
        </w:rPr>
        <w:t>3</w:t>
      </w:r>
      <w:r>
        <w:rPr>
          <w:rFonts w:hint="eastAsia" w:ascii="仿宋" w:hAnsi="仿宋" w:eastAsia="仿宋" w:cs="仿宋"/>
          <w:sz w:val="28"/>
          <w:szCs w:val="28"/>
        </w:rPr>
        <w:t>）殡葬队伍建设。加强殡葬管理服务队伍建设，配齐配强殡葬事业单位人员。采取政府购买服务或设立公益性岗位等方式，解决公益性公墓、骨灰堂管理人员、红白理事会管理人员缺乏问题。加强殡葬服务人员能力建设，建立殡葬专业人才队伍，强化职业技能培训，提升专业技术水平和服务能力。健全村级红白理事会，确保全市100%的村建立红白理事会。大力宣传殡葬行业的先进典型和优秀事迹，发挥典型示范带动作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流浪乞讨人员救助管理事业。完善生活无着的流浪乞讨人员救助管理机制，为生活无着的流浪乞讨人员提供临时食宿、疾病救治、协助返回等救助。加强救助管理机构标准化建设，提升县级救助管理机构服务质量。在街面巡查、照料服务、救助寻亲、落户安置、源头治理、队伍建设等方面建立机制，把救助管理工作链条向基层延伸，推动建立更加成熟、更加定型的新时代救助管理服务体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婚姻登记管理事业。推进《民法典》贯彻落实，规范婚姻登记工作。加强婚姻登记机关规范化、标准化、信息化建设和等级评定工作。建立公民婚姻信息数据库，完善婚姻登记管理信息系统，提升婚姻登记信息化水平。深入开展婚姻家庭辅导服务，搞好婚前辅导、婚姻辅导和离婚疏导，化解矛盾纠纷，促进婚姻家庭稳定。推进婚俗改革工作，加速传统文明和现代文明的融合发展，弘扬“风雨同舟、相濡以沫、责任担当、互敬互爱”的婚姻理念。婚姻和谐，家庭幸福是社会稳定的基石，“十四五”期间要加强青年婚恋观教育，对婚嫁天价彩礼的不良社会风气进行治理，助力婚姻家庭幸福稳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残疾人福利事业。健全困难残疾人生活补贴和重度残疾人护理补贴制度，探索建立残疾人康复辅具配置补贴制度，逐步完善支持残疾人就业优惠政策。加快康复辅具业发展，推动残疾人康复服务机构建设，继续开展免费助残活动。加快民政精神卫生发展，推进民政精神卫生福利机构建设，强化精神卫生福利机构管理服务，推进精神卫生社区康复服务。</w:t>
      </w:r>
    </w:p>
    <w:p>
      <w:pPr>
        <w:pStyle w:val="3"/>
      </w:pPr>
      <w:bookmarkStart w:id="38" w:name="_Toc80116052"/>
      <w:r>
        <w:rPr>
          <w:rFonts w:hint="eastAsia"/>
        </w:rPr>
        <w:t xml:space="preserve">第九节 </w:t>
      </w:r>
      <w:r>
        <w:t xml:space="preserve"> </w:t>
      </w:r>
      <w:r>
        <w:rPr>
          <w:rFonts w:hint="eastAsia"/>
        </w:rPr>
        <w:t>重大项目谋划实施</w:t>
      </w:r>
      <w:bookmarkEnd w:id="38"/>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我局坚持以习近平新时代中国特色社会主义思想为指导，认真研究国家、省对民政事业和养老产业的鼓励和支持政策，依据国家、省的民政发展规划，科学谋划了一批重大民生项目，集中在社会福利、养老服务和残疾人服务方面。主要有以下</w:t>
      </w:r>
      <w:r>
        <w:rPr>
          <w:rFonts w:hint="eastAsia" w:ascii="仿宋" w:hAnsi="仿宋" w:eastAsia="仿宋" w:cs="仿宋"/>
          <w:sz w:val="28"/>
          <w:szCs w:val="28"/>
          <w:lang w:val="en-US" w:eastAsia="zh-CN"/>
        </w:rPr>
        <w:t>3</w:t>
      </w:r>
      <w:r>
        <w:rPr>
          <w:rFonts w:hint="eastAsia" w:ascii="仿宋" w:hAnsi="仿宋" w:eastAsia="仿宋" w:cs="仿宋"/>
          <w:sz w:val="28"/>
          <w:szCs w:val="28"/>
        </w:rPr>
        <w:t>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河南省第二慈善医院迁建项目。主要建设医院业务用房、地下停车场和给排水、消防等配套工程。项目选址位于人民路以南、宁远路以西、西经大道以东、社会福利院迁建项目以北。规划用地面积35100平方米（52.65亩），建筑面积27320平方米，床位300张，总投资1.7193亿元，计划争取上级资金1620万元。此项目建议书2018年12月已经市发改委批复，目前正在进行履行征地手续。预计“十四五”期间完成项目建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河南省第二慈善医院老年康复楼项目。主要建设老年康复服务用房、生活用房、卫生保健用房等业务用房和给排水、消防、供电等室外配套工程。项目选址位于人民路以南、宁远路以西、西经大道以东、社会福利院迁建项目以北。规划用地面积31250平方米（46.87亩）建筑面积21250平方米，床位500张，总投资1.1263亿元，计划争取上级资金2700万元。此项目建议书2018年12月已经市发改委批复，目前正在进行履行征地手续。预计“十四五”期间完成项目建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焦作市民政福利精神病康复大楼项目。主要建设住院部、康复治疗等用房及配套工程。项目选址位于人民路以南、宁远路以西、西经大道以东、社会福利院迁建项目以北。规划用地面积19385平方米（29.07亩）建筑面积12600平方米，床位300张，总投资6678万元，计划争取上级资金1620万元。此项目建议书2018年12月已经市发改委批复，目前正在进行履行征地手续。预计“十四五”期间完成项目建设。</w:t>
      </w:r>
    </w:p>
    <w:p>
      <w:pPr>
        <w:pStyle w:val="2"/>
        <w:rPr>
          <w:rFonts w:hint="default"/>
        </w:rPr>
      </w:pPr>
      <w:bookmarkStart w:id="39" w:name="_Toc80116053"/>
      <w:r>
        <w:t xml:space="preserve">第四章 </w:t>
      </w:r>
      <w:r>
        <w:rPr>
          <w:rFonts w:hint="default"/>
        </w:rPr>
        <w:t xml:space="preserve"> </w:t>
      </w:r>
      <w:r>
        <w:t>保障措施</w:t>
      </w:r>
      <w:bookmarkEnd w:id="37"/>
      <w:bookmarkEnd w:id="39"/>
    </w:p>
    <w:p>
      <w:pPr>
        <w:ind w:firstLine="720" w:firstLineChars="200"/>
        <w:rPr>
          <w:rFonts w:ascii="仿宋" w:hAnsi="仿宋" w:eastAsia="仿宋" w:cs="仿宋"/>
          <w:b/>
          <w:bCs/>
          <w:sz w:val="36"/>
          <w:szCs w:val="36"/>
        </w:rPr>
      </w:pPr>
      <w:bookmarkStart w:id="40" w:name="_Toc455089460"/>
      <w:r>
        <w:rPr>
          <w:rFonts w:hint="eastAsia" w:ascii="仿宋" w:hAnsi="仿宋" w:eastAsia="仿宋" w:cs="仿宋"/>
          <w:b/>
          <w:bCs/>
          <w:sz w:val="36"/>
          <w:szCs w:val="36"/>
        </w:rPr>
        <w:t>一、党</w:t>
      </w:r>
      <w:r>
        <w:rPr>
          <w:rFonts w:ascii="仿宋" w:hAnsi="仿宋" w:eastAsia="仿宋" w:cs="仿宋"/>
          <w:b/>
          <w:bCs/>
          <w:sz w:val="36"/>
          <w:szCs w:val="36"/>
        </w:rPr>
        <w:t>的建设</w:t>
      </w:r>
      <w:bookmarkEnd w:id="40"/>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坚持党的领导，坚决贯彻落实党中央、国务院，省委、省政府和市委、市政府决策部署，发挥全市各级民政党组织统揽全局、协调各方的领导核心作用。深化“五型机关”建设，坚持党建与业务两手抓、两促进，将责任落实到各支部，发挥民政各级基层党组织和党员的战斗堡垒和先锋模范作用。全面落实党风廉政建设主体责任和监督责任，强化执行力，营造风清气正的发展环境。践行党的群众路线，创新群众工作机制和方式方法，最大限度凝聚民政事业发展的共识与力量。</w:t>
      </w:r>
    </w:p>
    <w:p>
      <w:pPr>
        <w:ind w:firstLine="720" w:firstLineChars="200"/>
        <w:rPr>
          <w:rFonts w:ascii="仿宋" w:hAnsi="仿宋" w:eastAsia="仿宋" w:cs="仿宋"/>
          <w:b/>
          <w:bCs/>
          <w:sz w:val="36"/>
          <w:szCs w:val="36"/>
        </w:rPr>
      </w:pPr>
      <w:bookmarkStart w:id="41" w:name="_Toc455089461"/>
      <w:r>
        <w:rPr>
          <w:rFonts w:hint="eastAsia" w:ascii="仿宋" w:hAnsi="仿宋" w:eastAsia="仿宋" w:cs="仿宋"/>
          <w:b/>
          <w:bCs/>
          <w:sz w:val="36"/>
          <w:szCs w:val="36"/>
        </w:rPr>
        <w:t>二、</w:t>
      </w:r>
      <w:r>
        <w:rPr>
          <w:rFonts w:ascii="仿宋" w:hAnsi="仿宋" w:eastAsia="仿宋" w:cs="仿宋"/>
          <w:b/>
          <w:bCs/>
          <w:sz w:val="36"/>
          <w:szCs w:val="36"/>
        </w:rPr>
        <w:t>制度保障</w:t>
      </w:r>
      <w:bookmarkEnd w:id="41"/>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坚持法治思维，明确政府主体责任，指导各级民政部门主动牵头，动员各方参与，加快规划组织实施。健全规划体系，以本规划为统领，编制实施民政各专项规划，指导市县编制民政发展规划，强化上下衔接，形成规划合力。聚焦发展重点，加强民政政策法规创制，促进部门政策互动，强化制度刚性和可操作性，形成民政发展制度优势。实行规划目标责任制，对各项指标任务、重点任务、重大项目明确责任主体和设施进度，分年度制定工作计划，进行滚动实施。</w:t>
      </w:r>
    </w:p>
    <w:p>
      <w:pPr>
        <w:ind w:firstLine="720" w:firstLineChars="200"/>
        <w:rPr>
          <w:rFonts w:ascii="仿宋" w:hAnsi="仿宋" w:eastAsia="仿宋" w:cs="仿宋"/>
          <w:b/>
          <w:bCs/>
          <w:sz w:val="36"/>
          <w:szCs w:val="36"/>
        </w:rPr>
      </w:pPr>
      <w:r>
        <w:rPr>
          <w:rFonts w:hint="eastAsia" w:ascii="仿宋" w:hAnsi="仿宋" w:eastAsia="仿宋" w:cs="仿宋"/>
          <w:b/>
          <w:bCs/>
          <w:sz w:val="36"/>
          <w:szCs w:val="36"/>
        </w:rPr>
        <w:t>三、自身建设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加强民政信息化建设，坚持信息化发展思路，推进民政综合业务平台和民政大数据建设，提升民政系统信息化建设和应用管理的水平。加强民政法治化建设，指导全市民政部门普遍聘用法律顾问。加强民政标准化建设，完善民政标准化体制机制，优化标准体系结构，强化标准实施与监督，夯实标准化基础，增强标准化服务支撑能力。</w:t>
      </w:r>
    </w:p>
    <w:p>
      <w:pPr>
        <w:ind w:firstLine="720" w:firstLineChars="200"/>
        <w:rPr>
          <w:rFonts w:ascii="仿宋" w:hAnsi="仿宋" w:eastAsia="仿宋" w:cs="仿宋"/>
          <w:b/>
          <w:bCs/>
          <w:sz w:val="36"/>
          <w:szCs w:val="36"/>
        </w:rPr>
      </w:pPr>
      <w:bookmarkStart w:id="42" w:name="_Toc455089462"/>
      <w:r>
        <w:rPr>
          <w:rFonts w:hint="eastAsia" w:ascii="仿宋" w:hAnsi="仿宋" w:eastAsia="仿宋" w:cs="仿宋"/>
          <w:b/>
          <w:bCs/>
          <w:sz w:val="36"/>
          <w:szCs w:val="36"/>
        </w:rPr>
        <w:t>四、</w:t>
      </w:r>
      <w:r>
        <w:rPr>
          <w:rFonts w:ascii="仿宋" w:hAnsi="仿宋" w:eastAsia="仿宋" w:cs="仿宋"/>
          <w:b/>
          <w:bCs/>
          <w:sz w:val="36"/>
          <w:szCs w:val="36"/>
        </w:rPr>
        <w:t>资金投入</w:t>
      </w:r>
      <w:bookmarkEnd w:id="42"/>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坚持建立健全以政府投入为主的多渠道、多层次、多形式的民政事业发展资金筹措机制。加强与河南省“十四五”民政事业发展规划衔接，同步实施重点项目任务，以优秀项目争取国家资金支持。主动融入全市经济社会发展全局，坚决贯彻市委、市政府重大决策部署，争取建立与财政收入同步增长投入机制，强化各方监督，落实市县分担责任。加大福利彩票发行，做大市场总量，筹集更多福彩公益金。发挥市场对资源配置的决定性作用，最大限度激发各类市场主体创业、创新活力，充分发挥社会各界参与本规划实施的主动性和创造性，让一切生产要素竞相迸发活力。</w:t>
      </w:r>
    </w:p>
    <w:p>
      <w:pPr>
        <w:ind w:firstLine="720" w:firstLineChars="200"/>
        <w:rPr>
          <w:rFonts w:ascii="仿宋" w:hAnsi="仿宋" w:eastAsia="仿宋" w:cs="仿宋"/>
          <w:b/>
          <w:bCs/>
          <w:sz w:val="36"/>
          <w:szCs w:val="36"/>
        </w:rPr>
      </w:pPr>
      <w:bookmarkStart w:id="43" w:name="_Toc455089463"/>
      <w:r>
        <w:rPr>
          <w:rFonts w:hint="eastAsia" w:ascii="仿宋" w:hAnsi="仿宋" w:eastAsia="仿宋" w:cs="仿宋"/>
          <w:b/>
          <w:bCs/>
          <w:sz w:val="36"/>
          <w:szCs w:val="36"/>
        </w:rPr>
        <w:t>五、</w:t>
      </w:r>
      <w:r>
        <w:rPr>
          <w:rFonts w:ascii="仿宋" w:hAnsi="仿宋" w:eastAsia="仿宋" w:cs="仿宋"/>
          <w:b/>
          <w:bCs/>
          <w:sz w:val="36"/>
          <w:szCs w:val="36"/>
        </w:rPr>
        <w:t>项目建设</w:t>
      </w:r>
      <w:bookmarkEnd w:id="43"/>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坚持总体规划、合理布局、分布实施，加快民政项目建设，形成储备与实施良性循环。加强重点项目实施，“十四五”期间，重点围绕养老服务、殡葬事业、公共福利等民生领域，谋划推进一批重大项目，鼓励社会资本进入，实现总量、质量、效益同步提升。坚持监管并重，加强民政供给侧结构性改革，</w:t>
      </w:r>
      <w:bookmarkStart w:id="44" w:name="_Toc394295154"/>
      <w:r>
        <w:rPr>
          <w:rFonts w:hint="eastAsia" w:ascii="仿宋" w:hAnsi="仿宋" w:eastAsia="仿宋" w:cs="仿宋"/>
          <w:sz w:val="28"/>
          <w:szCs w:val="28"/>
        </w:rPr>
        <w:t>鼓励公办民营、民办公助、政府购买服务等多种服务供给方式，优化民政基础设施供给，满足人民群众多样化需求。</w:t>
      </w:r>
      <w:bookmarkEnd w:id="44"/>
    </w:p>
    <w:p>
      <w:pPr>
        <w:ind w:firstLine="720" w:firstLineChars="200"/>
        <w:rPr>
          <w:rFonts w:ascii="仿宋" w:hAnsi="仿宋" w:eastAsia="仿宋" w:cs="仿宋"/>
          <w:b/>
          <w:bCs/>
          <w:sz w:val="36"/>
          <w:szCs w:val="36"/>
        </w:rPr>
      </w:pPr>
      <w:bookmarkStart w:id="45" w:name="_Toc455089464"/>
      <w:r>
        <w:rPr>
          <w:rFonts w:hint="eastAsia" w:ascii="仿宋" w:hAnsi="仿宋" w:eastAsia="仿宋" w:cs="仿宋"/>
          <w:b/>
          <w:bCs/>
          <w:sz w:val="36"/>
          <w:szCs w:val="36"/>
        </w:rPr>
        <w:t>六、</w:t>
      </w:r>
      <w:r>
        <w:rPr>
          <w:rFonts w:ascii="仿宋" w:hAnsi="仿宋" w:eastAsia="仿宋" w:cs="仿宋"/>
          <w:b/>
          <w:bCs/>
          <w:sz w:val="36"/>
          <w:szCs w:val="36"/>
        </w:rPr>
        <w:t>人才队伍</w:t>
      </w:r>
      <w:bookmarkEnd w:id="45"/>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坚持民政发展人才战略，强化规划执行人力资源保障。深化干部人事制度改革，建立健全奖惩激励约束机制，调动各方干事创业的积极性。加强科技人才队伍建设，在养老、殡葬、康复等领域培养一批技术人才，促进民政业务创新。加强专业化人才队伍建设，加强职业技能培训，改善专业知识和能力结构，提高队伍整体素质。加强基层民政队伍建设，引进专业社会工作者，督促各级加大投入，重点解决乡村两级经费紧缺、力量不足等问题。</w:t>
      </w:r>
    </w:p>
    <w:p>
      <w:pPr>
        <w:ind w:firstLine="720" w:firstLineChars="200"/>
        <w:rPr>
          <w:rFonts w:ascii="仿宋" w:hAnsi="仿宋" w:eastAsia="仿宋" w:cs="仿宋"/>
          <w:b/>
          <w:bCs/>
          <w:sz w:val="36"/>
          <w:szCs w:val="36"/>
        </w:rPr>
      </w:pPr>
      <w:bookmarkStart w:id="46" w:name="_Toc455089465"/>
      <w:r>
        <w:rPr>
          <w:rFonts w:hint="eastAsia" w:ascii="仿宋" w:hAnsi="仿宋" w:eastAsia="仿宋" w:cs="仿宋"/>
          <w:b/>
          <w:bCs/>
          <w:sz w:val="36"/>
          <w:szCs w:val="36"/>
        </w:rPr>
        <w:t>七、</w:t>
      </w:r>
      <w:r>
        <w:rPr>
          <w:rFonts w:ascii="仿宋" w:hAnsi="仿宋" w:eastAsia="仿宋" w:cs="仿宋"/>
          <w:b/>
          <w:bCs/>
          <w:sz w:val="36"/>
          <w:szCs w:val="36"/>
        </w:rPr>
        <w:t>监督检查</w:t>
      </w:r>
      <w:bookmarkEnd w:id="46"/>
    </w:p>
    <w:p>
      <w:pPr>
        <w:spacing w:line="360" w:lineRule="auto"/>
        <w:ind w:firstLine="560" w:firstLineChars="200"/>
        <w:rPr>
          <w:rFonts w:hint="default" w:ascii="仿宋" w:hAnsi="仿宋" w:eastAsia="仿宋" w:cs="仿宋"/>
          <w:sz w:val="28"/>
          <w:szCs w:val="28"/>
        </w:rPr>
      </w:pPr>
      <w:r>
        <w:rPr>
          <w:rFonts w:hint="eastAsia" w:ascii="仿宋" w:hAnsi="仿宋" w:eastAsia="仿宋" w:cs="仿宋"/>
          <w:sz w:val="28"/>
          <w:szCs w:val="28"/>
        </w:rPr>
        <w:t>坚持围绕全市发展大局，将规划指标项目融入政府基本公共服务清单，推动重大项目纳入市政府重点民生实事或市县政府绩效考核内容，强化法治支撑。加大重点任务执法检查，纳入市、县重点民政工作评估范围，作为评先评优重要依据。完善规划中期评估和末期全面评估制度，加大执行公开力度，引进公众评议，扩大群众参与，将民政打造成全民共建共享的事业。</w:t>
      </w:r>
      <w:bookmarkStart w:id="47" w:name="_GoBack"/>
      <w:bookmarkEnd w:id="47"/>
    </w:p>
    <w:sectPr>
      <w:footerReference r:id="rId4" w:type="default"/>
      <w:pgSz w:w="23811" w:h="16838" w:orient="landscape"/>
      <w:pgMar w:top="1587" w:right="2098" w:bottom="1474" w:left="198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文泉驿微米黑"/>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仿宋_GB2312"/>
    <w:panose1 w:val="02010600030101010101"/>
    <w:charset w:val="86"/>
    <w:family w:val="auto"/>
    <w:pitch w:val="default"/>
    <w:sig w:usb0="00000000" w:usb1="00000000" w:usb2="00000016" w:usb3="00000000" w:csb0="0004000F" w:csb1="00000000"/>
  </w:font>
  <w:font w:name="仿宋">
    <w:altName w:val="Noto Sans CJK SC"/>
    <w:panose1 w:val="02010609060101010101"/>
    <w:charset w:val="86"/>
    <w:family w:val="modern"/>
    <w:pitch w:val="default"/>
    <w:sig w:usb0="00000000" w:usb1="00000000" w:usb2="00000016" w:usb3="00000000" w:csb0="00040001" w:csb1="00000000"/>
  </w:font>
  <w:font w:name="等线">
    <w:altName w:val="仿宋_GB2312"/>
    <w:panose1 w:val="02010600030101010101"/>
    <w:charset w:val="86"/>
    <w:family w:val="auto"/>
    <w:pitch w:val="default"/>
    <w:sig w:usb0="00000000" w:usb1="00000000" w:usb2="00000016" w:usb3="00000000" w:csb0="0004000F" w:csb1="00000000"/>
  </w:font>
  <w:font w:name="Cambria">
    <w:altName w:val="Noto Sans Syriac Eastern"/>
    <w:panose1 w:val="02040503050406030204"/>
    <w:charset w:val="00"/>
    <w:family w:val="roman"/>
    <w:pitch w:val="default"/>
    <w:sig w:usb0="00000000" w:usb1="00000000" w:usb2="02000000" w:usb3="00000000" w:csb0="0000019F" w:csb1="00000000"/>
  </w:font>
  <w:font w:name="方正小标宋_GBK">
    <w:altName w:val="AR PL UKai CN"/>
    <w:panose1 w:val="00000000000000000000"/>
    <w:charset w:val="86"/>
    <w:family w:val="auto"/>
    <w:pitch w:val="default"/>
    <w:sig w:usb0="00000000" w:usb1="00000000" w:usb2="00082016" w:usb3="00000000" w:csb0="00040001" w:csb1="00000000"/>
  </w:font>
  <w:font w:name="东文宋体">
    <w:altName w:val="文泉驿微米黑"/>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等线">
    <w:altName w:val="仿宋_GB2312"/>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NanumGothic">
    <w:panose1 w:val="020D0604000000000000"/>
    <w:charset w:val="81"/>
    <w:family w:val="auto"/>
    <w:pitch w:val="default"/>
    <w:sig w:usb0="900002A7" w:usb1="29D7FCFB" w:usb2="00000010" w:usb3="00000000" w:csb0="00080001" w:csb1="00000000"/>
  </w:font>
  <w:font w:name="Noto Sans CJK SC">
    <w:panose1 w:val="020B0500000000000000"/>
    <w:charset w:val="86"/>
    <w:family w:val="auto"/>
    <w:pitch w:val="default"/>
    <w:sig w:usb0="30000003" w:usb1="2BDF3C10" w:usb2="00000016" w:usb3="00000000" w:csb0="602E0107" w:csb1="00000000"/>
  </w:font>
  <w:font w:name="Nimbus Roman No9 L">
    <w:panose1 w:val="00000000000000000000"/>
    <w:charset w:val="00"/>
    <w:family w:val="auto"/>
    <w:pitch w:val="default"/>
    <w:sig w:usb0="00000000" w:usb1="00000000" w:usb2="00000000" w:usb3="00000000" w:csb0="00000000" w:csb1="00000000"/>
  </w:font>
  <w:font w:name="等线 Light">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9864"/>
      </w:tabs>
    </w:pPr>
    <w:r>
      <w:tab/>
    </w:r>
    <w:r>
      <w:tab/>
    </w:r>
    <w:r>
      <w:tab/>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9864"/>
      </w:tabs>
    </w:pPr>
    <w:r>
      <w:tab/>
    </w:r>
    <w:r>
      <w:tab/>
    </w:r>
    <w:r>
      <w:tab/>
    </w:r>
    <w:sdt>
      <w:sdtPr>
        <w:rPr>
          <w:sz w:val="24"/>
          <w:szCs w:val="24"/>
        </w:rPr>
        <w:id w:val="-1244176176"/>
      </w:sdtPr>
      <w:sdtEndPr>
        <w:rPr>
          <w:sz w:val="18"/>
          <w:szCs w:val="18"/>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452"/>
    <w:rsid w:val="0000742D"/>
    <w:rsid w:val="00007F7E"/>
    <w:rsid w:val="00013DC1"/>
    <w:rsid w:val="00013F12"/>
    <w:rsid w:val="0001566E"/>
    <w:rsid w:val="0001626A"/>
    <w:rsid w:val="000170B7"/>
    <w:rsid w:val="000276D0"/>
    <w:rsid w:val="0003003D"/>
    <w:rsid w:val="000313CC"/>
    <w:rsid w:val="000320CE"/>
    <w:rsid w:val="00034810"/>
    <w:rsid w:val="00035419"/>
    <w:rsid w:val="00041600"/>
    <w:rsid w:val="00044AFB"/>
    <w:rsid w:val="0004639B"/>
    <w:rsid w:val="0005651A"/>
    <w:rsid w:val="0005746A"/>
    <w:rsid w:val="000577AD"/>
    <w:rsid w:val="00057D6B"/>
    <w:rsid w:val="000633BB"/>
    <w:rsid w:val="00065481"/>
    <w:rsid w:val="000670E1"/>
    <w:rsid w:val="000770E0"/>
    <w:rsid w:val="00090334"/>
    <w:rsid w:val="000A024C"/>
    <w:rsid w:val="000A0F79"/>
    <w:rsid w:val="000A6DCD"/>
    <w:rsid w:val="000A750A"/>
    <w:rsid w:val="000B1AD6"/>
    <w:rsid w:val="000C55DA"/>
    <w:rsid w:val="000C5730"/>
    <w:rsid w:val="000C7982"/>
    <w:rsid w:val="000D16A7"/>
    <w:rsid w:val="000D41D9"/>
    <w:rsid w:val="000D6D47"/>
    <w:rsid w:val="000E09C2"/>
    <w:rsid w:val="000E1AC2"/>
    <w:rsid w:val="000E4D10"/>
    <w:rsid w:val="000E695F"/>
    <w:rsid w:val="000E7CE7"/>
    <w:rsid w:val="000E7CF0"/>
    <w:rsid w:val="000F040F"/>
    <w:rsid w:val="000F20FA"/>
    <w:rsid w:val="000F391C"/>
    <w:rsid w:val="001002DC"/>
    <w:rsid w:val="00112688"/>
    <w:rsid w:val="00114631"/>
    <w:rsid w:val="00115540"/>
    <w:rsid w:val="001215E8"/>
    <w:rsid w:val="00133F64"/>
    <w:rsid w:val="001362E7"/>
    <w:rsid w:val="00137425"/>
    <w:rsid w:val="00143C8C"/>
    <w:rsid w:val="00145CEB"/>
    <w:rsid w:val="00150C12"/>
    <w:rsid w:val="00151FC7"/>
    <w:rsid w:val="00152FC2"/>
    <w:rsid w:val="00153A9F"/>
    <w:rsid w:val="00154F51"/>
    <w:rsid w:val="0015578D"/>
    <w:rsid w:val="00157696"/>
    <w:rsid w:val="00163E37"/>
    <w:rsid w:val="00171047"/>
    <w:rsid w:val="00176C33"/>
    <w:rsid w:val="00181D66"/>
    <w:rsid w:val="00183E0E"/>
    <w:rsid w:val="00191C45"/>
    <w:rsid w:val="00196ADA"/>
    <w:rsid w:val="001A3CAF"/>
    <w:rsid w:val="001A460C"/>
    <w:rsid w:val="001A7658"/>
    <w:rsid w:val="001B0CBC"/>
    <w:rsid w:val="001B1254"/>
    <w:rsid w:val="001B164B"/>
    <w:rsid w:val="001B1E2B"/>
    <w:rsid w:val="001B4C7E"/>
    <w:rsid w:val="001B6B7F"/>
    <w:rsid w:val="001C261B"/>
    <w:rsid w:val="001C3572"/>
    <w:rsid w:val="001C3B62"/>
    <w:rsid w:val="001C771D"/>
    <w:rsid w:val="001D169C"/>
    <w:rsid w:val="001D37F2"/>
    <w:rsid w:val="001D687C"/>
    <w:rsid w:val="001D7A99"/>
    <w:rsid w:val="001F0153"/>
    <w:rsid w:val="001F0421"/>
    <w:rsid w:val="001F1BBA"/>
    <w:rsid w:val="001F3125"/>
    <w:rsid w:val="001F540B"/>
    <w:rsid w:val="001F71C1"/>
    <w:rsid w:val="00202689"/>
    <w:rsid w:val="00210A2C"/>
    <w:rsid w:val="002111BE"/>
    <w:rsid w:val="0021300A"/>
    <w:rsid w:val="00213423"/>
    <w:rsid w:val="00217F11"/>
    <w:rsid w:val="00230638"/>
    <w:rsid w:val="00231944"/>
    <w:rsid w:val="00232791"/>
    <w:rsid w:val="00233D3B"/>
    <w:rsid w:val="00234786"/>
    <w:rsid w:val="00234D93"/>
    <w:rsid w:val="00236BC8"/>
    <w:rsid w:val="00242D7E"/>
    <w:rsid w:val="00244BE1"/>
    <w:rsid w:val="00245FA0"/>
    <w:rsid w:val="002541EF"/>
    <w:rsid w:val="0025560D"/>
    <w:rsid w:val="002614F9"/>
    <w:rsid w:val="002617A7"/>
    <w:rsid w:val="0026636A"/>
    <w:rsid w:val="002668E3"/>
    <w:rsid w:val="00267312"/>
    <w:rsid w:val="00271B08"/>
    <w:rsid w:val="0028192F"/>
    <w:rsid w:val="00284C4E"/>
    <w:rsid w:val="00284E4F"/>
    <w:rsid w:val="00285303"/>
    <w:rsid w:val="00290560"/>
    <w:rsid w:val="0029180E"/>
    <w:rsid w:val="00293943"/>
    <w:rsid w:val="00297D79"/>
    <w:rsid w:val="002A4453"/>
    <w:rsid w:val="002B041A"/>
    <w:rsid w:val="002B122A"/>
    <w:rsid w:val="002B17A4"/>
    <w:rsid w:val="002B1F0C"/>
    <w:rsid w:val="002B402D"/>
    <w:rsid w:val="002B464D"/>
    <w:rsid w:val="002B6670"/>
    <w:rsid w:val="002C2F3F"/>
    <w:rsid w:val="002C4279"/>
    <w:rsid w:val="002C6334"/>
    <w:rsid w:val="002C6B58"/>
    <w:rsid w:val="002D1C77"/>
    <w:rsid w:val="002D6C93"/>
    <w:rsid w:val="002D733F"/>
    <w:rsid w:val="002E28C1"/>
    <w:rsid w:val="002E3322"/>
    <w:rsid w:val="002E447F"/>
    <w:rsid w:val="002E6C7B"/>
    <w:rsid w:val="002F170B"/>
    <w:rsid w:val="002F501C"/>
    <w:rsid w:val="002F6928"/>
    <w:rsid w:val="0030023C"/>
    <w:rsid w:val="00300355"/>
    <w:rsid w:val="00304947"/>
    <w:rsid w:val="003049DD"/>
    <w:rsid w:val="0030519A"/>
    <w:rsid w:val="00316708"/>
    <w:rsid w:val="00316DF1"/>
    <w:rsid w:val="003218DB"/>
    <w:rsid w:val="00324E0B"/>
    <w:rsid w:val="00325946"/>
    <w:rsid w:val="003340B7"/>
    <w:rsid w:val="0034099A"/>
    <w:rsid w:val="00351F51"/>
    <w:rsid w:val="00352B95"/>
    <w:rsid w:val="003553DD"/>
    <w:rsid w:val="0035700C"/>
    <w:rsid w:val="00361ACB"/>
    <w:rsid w:val="00362E3C"/>
    <w:rsid w:val="003647CD"/>
    <w:rsid w:val="003715AF"/>
    <w:rsid w:val="00373250"/>
    <w:rsid w:val="00380713"/>
    <w:rsid w:val="00383B78"/>
    <w:rsid w:val="00384561"/>
    <w:rsid w:val="003865B6"/>
    <w:rsid w:val="00387825"/>
    <w:rsid w:val="003921F9"/>
    <w:rsid w:val="0039283C"/>
    <w:rsid w:val="003934D8"/>
    <w:rsid w:val="0039605E"/>
    <w:rsid w:val="00396103"/>
    <w:rsid w:val="0039761D"/>
    <w:rsid w:val="00397D05"/>
    <w:rsid w:val="003A421E"/>
    <w:rsid w:val="003A5AC1"/>
    <w:rsid w:val="003A6CB2"/>
    <w:rsid w:val="003B2BA3"/>
    <w:rsid w:val="003B5E06"/>
    <w:rsid w:val="003C1D72"/>
    <w:rsid w:val="003C30C0"/>
    <w:rsid w:val="003C3A52"/>
    <w:rsid w:val="003C5288"/>
    <w:rsid w:val="003C6585"/>
    <w:rsid w:val="003C6B73"/>
    <w:rsid w:val="003D03C3"/>
    <w:rsid w:val="003D4C44"/>
    <w:rsid w:val="003E15CB"/>
    <w:rsid w:val="003E1876"/>
    <w:rsid w:val="003E32E5"/>
    <w:rsid w:val="003E409C"/>
    <w:rsid w:val="003E4CBF"/>
    <w:rsid w:val="003F40AA"/>
    <w:rsid w:val="003F4498"/>
    <w:rsid w:val="003F51AA"/>
    <w:rsid w:val="003F5437"/>
    <w:rsid w:val="00400A17"/>
    <w:rsid w:val="00403EEA"/>
    <w:rsid w:val="00404AB9"/>
    <w:rsid w:val="00410418"/>
    <w:rsid w:val="0041079C"/>
    <w:rsid w:val="00410DC2"/>
    <w:rsid w:val="004129FA"/>
    <w:rsid w:val="00412DD8"/>
    <w:rsid w:val="00413A13"/>
    <w:rsid w:val="004148DE"/>
    <w:rsid w:val="00415A41"/>
    <w:rsid w:val="0041665F"/>
    <w:rsid w:val="004206B8"/>
    <w:rsid w:val="00424A3D"/>
    <w:rsid w:val="00425470"/>
    <w:rsid w:val="00425F4F"/>
    <w:rsid w:val="004354EE"/>
    <w:rsid w:val="00437AAD"/>
    <w:rsid w:val="00440208"/>
    <w:rsid w:val="004409FF"/>
    <w:rsid w:val="00444493"/>
    <w:rsid w:val="00445501"/>
    <w:rsid w:val="0044661B"/>
    <w:rsid w:val="00453BEA"/>
    <w:rsid w:val="00453ECC"/>
    <w:rsid w:val="00455A33"/>
    <w:rsid w:val="00466465"/>
    <w:rsid w:val="0046657D"/>
    <w:rsid w:val="0047092B"/>
    <w:rsid w:val="00471A29"/>
    <w:rsid w:val="00471F18"/>
    <w:rsid w:val="00474ADD"/>
    <w:rsid w:val="0047719A"/>
    <w:rsid w:val="00480262"/>
    <w:rsid w:val="00482495"/>
    <w:rsid w:val="004837D1"/>
    <w:rsid w:val="00486934"/>
    <w:rsid w:val="00490684"/>
    <w:rsid w:val="00491762"/>
    <w:rsid w:val="00492A3B"/>
    <w:rsid w:val="00495E08"/>
    <w:rsid w:val="004A27EA"/>
    <w:rsid w:val="004A6542"/>
    <w:rsid w:val="004B186E"/>
    <w:rsid w:val="004B4C7A"/>
    <w:rsid w:val="004B5F1B"/>
    <w:rsid w:val="004B714B"/>
    <w:rsid w:val="004C0281"/>
    <w:rsid w:val="004C11CC"/>
    <w:rsid w:val="004C2898"/>
    <w:rsid w:val="004C53B1"/>
    <w:rsid w:val="004C5BE6"/>
    <w:rsid w:val="004D0BC9"/>
    <w:rsid w:val="004D1B2F"/>
    <w:rsid w:val="004D2EF5"/>
    <w:rsid w:val="004D6FCA"/>
    <w:rsid w:val="004E75A2"/>
    <w:rsid w:val="004F353C"/>
    <w:rsid w:val="00504E3D"/>
    <w:rsid w:val="00506EFD"/>
    <w:rsid w:val="00507DFF"/>
    <w:rsid w:val="00512734"/>
    <w:rsid w:val="0051303E"/>
    <w:rsid w:val="005131C3"/>
    <w:rsid w:val="00515FC3"/>
    <w:rsid w:val="005214BD"/>
    <w:rsid w:val="0052364A"/>
    <w:rsid w:val="00525823"/>
    <w:rsid w:val="00525A5C"/>
    <w:rsid w:val="005312C9"/>
    <w:rsid w:val="005452A8"/>
    <w:rsid w:val="00550F96"/>
    <w:rsid w:val="00551CD0"/>
    <w:rsid w:val="00556BA8"/>
    <w:rsid w:val="00557452"/>
    <w:rsid w:val="00562A17"/>
    <w:rsid w:val="00563C69"/>
    <w:rsid w:val="005648E7"/>
    <w:rsid w:val="00567CEE"/>
    <w:rsid w:val="0057082B"/>
    <w:rsid w:val="005709A2"/>
    <w:rsid w:val="00572EEA"/>
    <w:rsid w:val="0057301B"/>
    <w:rsid w:val="00573EA6"/>
    <w:rsid w:val="005778E2"/>
    <w:rsid w:val="00580A59"/>
    <w:rsid w:val="0058133E"/>
    <w:rsid w:val="00581ABC"/>
    <w:rsid w:val="00582D1C"/>
    <w:rsid w:val="00584D5E"/>
    <w:rsid w:val="00593C68"/>
    <w:rsid w:val="00595D62"/>
    <w:rsid w:val="005A56AE"/>
    <w:rsid w:val="005A5BFB"/>
    <w:rsid w:val="005A6024"/>
    <w:rsid w:val="005A60F0"/>
    <w:rsid w:val="005A7693"/>
    <w:rsid w:val="005B08C3"/>
    <w:rsid w:val="005B110F"/>
    <w:rsid w:val="005B27B7"/>
    <w:rsid w:val="005B3DFE"/>
    <w:rsid w:val="005B5099"/>
    <w:rsid w:val="005B7B7C"/>
    <w:rsid w:val="005C05C9"/>
    <w:rsid w:val="005C698A"/>
    <w:rsid w:val="005D2B26"/>
    <w:rsid w:val="005D66A0"/>
    <w:rsid w:val="005D6A46"/>
    <w:rsid w:val="005D7C8B"/>
    <w:rsid w:val="005E3826"/>
    <w:rsid w:val="005E6CF2"/>
    <w:rsid w:val="005F091D"/>
    <w:rsid w:val="005F4204"/>
    <w:rsid w:val="005F494B"/>
    <w:rsid w:val="005F4CD6"/>
    <w:rsid w:val="006004F1"/>
    <w:rsid w:val="00600D37"/>
    <w:rsid w:val="00600DEE"/>
    <w:rsid w:val="00606EF2"/>
    <w:rsid w:val="00613D96"/>
    <w:rsid w:val="0061641F"/>
    <w:rsid w:val="00617866"/>
    <w:rsid w:val="00630009"/>
    <w:rsid w:val="006374BA"/>
    <w:rsid w:val="00643445"/>
    <w:rsid w:val="00643AB2"/>
    <w:rsid w:val="006461E6"/>
    <w:rsid w:val="006516A8"/>
    <w:rsid w:val="00653624"/>
    <w:rsid w:val="00655712"/>
    <w:rsid w:val="00655FB5"/>
    <w:rsid w:val="006578FA"/>
    <w:rsid w:val="00665C7F"/>
    <w:rsid w:val="006665FB"/>
    <w:rsid w:val="00666CA1"/>
    <w:rsid w:val="00670A34"/>
    <w:rsid w:val="00673CEF"/>
    <w:rsid w:val="00674272"/>
    <w:rsid w:val="0067436A"/>
    <w:rsid w:val="00676F80"/>
    <w:rsid w:val="006778A3"/>
    <w:rsid w:val="00677BA0"/>
    <w:rsid w:val="0068282B"/>
    <w:rsid w:val="00686D71"/>
    <w:rsid w:val="00695358"/>
    <w:rsid w:val="00695B00"/>
    <w:rsid w:val="0069629F"/>
    <w:rsid w:val="006A0201"/>
    <w:rsid w:val="006A0FC5"/>
    <w:rsid w:val="006A2888"/>
    <w:rsid w:val="006A4C7C"/>
    <w:rsid w:val="006A5A86"/>
    <w:rsid w:val="006B1FC5"/>
    <w:rsid w:val="006B5180"/>
    <w:rsid w:val="006C3A63"/>
    <w:rsid w:val="006C5946"/>
    <w:rsid w:val="006E1303"/>
    <w:rsid w:val="006E1963"/>
    <w:rsid w:val="006E259B"/>
    <w:rsid w:val="006E3041"/>
    <w:rsid w:val="006F4971"/>
    <w:rsid w:val="006F4FEE"/>
    <w:rsid w:val="006F5F29"/>
    <w:rsid w:val="00700B0D"/>
    <w:rsid w:val="007010C0"/>
    <w:rsid w:val="007047A2"/>
    <w:rsid w:val="00704C6B"/>
    <w:rsid w:val="007129A9"/>
    <w:rsid w:val="0071449C"/>
    <w:rsid w:val="00714EBB"/>
    <w:rsid w:val="0071673F"/>
    <w:rsid w:val="0072161A"/>
    <w:rsid w:val="007217A6"/>
    <w:rsid w:val="00721D1E"/>
    <w:rsid w:val="00724AEC"/>
    <w:rsid w:val="00727ABF"/>
    <w:rsid w:val="007441E2"/>
    <w:rsid w:val="00745F29"/>
    <w:rsid w:val="007479F2"/>
    <w:rsid w:val="00753D4F"/>
    <w:rsid w:val="00754579"/>
    <w:rsid w:val="00755947"/>
    <w:rsid w:val="00756A77"/>
    <w:rsid w:val="00756F65"/>
    <w:rsid w:val="00757A84"/>
    <w:rsid w:val="0076009E"/>
    <w:rsid w:val="007608B0"/>
    <w:rsid w:val="00762D54"/>
    <w:rsid w:val="00763371"/>
    <w:rsid w:val="00770DB2"/>
    <w:rsid w:val="00772E00"/>
    <w:rsid w:val="007734C7"/>
    <w:rsid w:val="00775D2A"/>
    <w:rsid w:val="00777372"/>
    <w:rsid w:val="007811D0"/>
    <w:rsid w:val="00781D24"/>
    <w:rsid w:val="00782D1E"/>
    <w:rsid w:val="00782F0B"/>
    <w:rsid w:val="00783B46"/>
    <w:rsid w:val="007879F5"/>
    <w:rsid w:val="00787DB5"/>
    <w:rsid w:val="007911D4"/>
    <w:rsid w:val="00792569"/>
    <w:rsid w:val="00795D92"/>
    <w:rsid w:val="007A0769"/>
    <w:rsid w:val="007A24D3"/>
    <w:rsid w:val="007A291E"/>
    <w:rsid w:val="007A3C42"/>
    <w:rsid w:val="007A5C47"/>
    <w:rsid w:val="007B1228"/>
    <w:rsid w:val="007C24BC"/>
    <w:rsid w:val="007C25BA"/>
    <w:rsid w:val="007C312B"/>
    <w:rsid w:val="007C56C7"/>
    <w:rsid w:val="007C58B6"/>
    <w:rsid w:val="007D13DD"/>
    <w:rsid w:val="007D6AD1"/>
    <w:rsid w:val="007D7565"/>
    <w:rsid w:val="007E10FA"/>
    <w:rsid w:val="007E6924"/>
    <w:rsid w:val="007F10A3"/>
    <w:rsid w:val="007F2D34"/>
    <w:rsid w:val="007F615D"/>
    <w:rsid w:val="008034E4"/>
    <w:rsid w:val="00810818"/>
    <w:rsid w:val="00812E4B"/>
    <w:rsid w:val="008173C4"/>
    <w:rsid w:val="00820015"/>
    <w:rsid w:val="00825579"/>
    <w:rsid w:val="008258B1"/>
    <w:rsid w:val="00827457"/>
    <w:rsid w:val="008320DA"/>
    <w:rsid w:val="008333F8"/>
    <w:rsid w:val="00835A12"/>
    <w:rsid w:val="0083707F"/>
    <w:rsid w:val="00841CF7"/>
    <w:rsid w:val="0084404D"/>
    <w:rsid w:val="008457EF"/>
    <w:rsid w:val="00853951"/>
    <w:rsid w:val="008561C4"/>
    <w:rsid w:val="008601E5"/>
    <w:rsid w:val="00860FC0"/>
    <w:rsid w:val="008662B0"/>
    <w:rsid w:val="008678BD"/>
    <w:rsid w:val="00870787"/>
    <w:rsid w:val="008714F7"/>
    <w:rsid w:val="00871797"/>
    <w:rsid w:val="00876692"/>
    <w:rsid w:val="008768D4"/>
    <w:rsid w:val="00876B92"/>
    <w:rsid w:val="00876FD1"/>
    <w:rsid w:val="00880BAF"/>
    <w:rsid w:val="00883737"/>
    <w:rsid w:val="00885EEA"/>
    <w:rsid w:val="00893F0D"/>
    <w:rsid w:val="008948FE"/>
    <w:rsid w:val="008A1279"/>
    <w:rsid w:val="008A7B3B"/>
    <w:rsid w:val="008B33F6"/>
    <w:rsid w:val="008B644F"/>
    <w:rsid w:val="008C0901"/>
    <w:rsid w:val="008C4D45"/>
    <w:rsid w:val="008C61A1"/>
    <w:rsid w:val="008D0BF1"/>
    <w:rsid w:val="008D2D50"/>
    <w:rsid w:val="008E79A6"/>
    <w:rsid w:val="008F1C10"/>
    <w:rsid w:val="00900548"/>
    <w:rsid w:val="00905646"/>
    <w:rsid w:val="0091205A"/>
    <w:rsid w:val="00913D51"/>
    <w:rsid w:val="0091663C"/>
    <w:rsid w:val="00917A6E"/>
    <w:rsid w:val="0092081B"/>
    <w:rsid w:val="009247C5"/>
    <w:rsid w:val="00925434"/>
    <w:rsid w:val="0093008B"/>
    <w:rsid w:val="009311FC"/>
    <w:rsid w:val="009312A0"/>
    <w:rsid w:val="00932001"/>
    <w:rsid w:val="00933D0F"/>
    <w:rsid w:val="009341DA"/>
    <w:rsid w:val="00935C22"/>
    <w:rsid w:val="00937990"/>
    <w:rsid w:val="0094173E"/>
    <w:rsid w:val="00945542"/>
    <w:rsid w:val="00945BEE"/>
    <w:rsid w:val="00946155"/>
    <w:rsid w:val="00952C26"/>
    <w:rsid w:val="00966B0E"/>
    <w:rsid w:val="00971B54"/>
    <w:rsid w:val="00976990"/>
    <w:rsid w:val="00976F0B"/>
    <w:rsid w:val="00981FD0"/>
    <w:rsid w:val="00986B09"/>
    <w:rsid w:val="00993B1C"/>
    <w:rsid w:val="009943DE"/>
    <w:rsid w:val="00995095"/>
    <w:rsid w:val="0099590A"/>
    <w:rsid w:val="00995F62"/>
    <w:rsid w:val="009A1126"/>
    <w:rsid w:val="009A51F4"/>
    <w:rsid w:val="009A77D2"/>
    <w:rsid w:val="009B136F"/>
    <w:rsid w:val="009B13E8"/>
    <w:rsid w:val="009B5370"/>
    <w:rsid w:val="009C1F79"/>
    <w:rsid w:val="009C2FC6"/>
    <w:rsid w:val="009C693C"/>
    <w:rsid w:val="009C6F8C"/>
    <w:rsid w:val="009D1882"/>
    <w:rsid w:val="009D3975"/>
    <w:rsid w:val="009D6DBF"/>
    <w:rsid w:val="009E1441"/>
    <w:rsid w:val="009E258C"/>
    <w:rsid w:val="009E2CE4"/>
    <w:rsid w:val="009E3984"/>
    <w:rsid w:val="009E5EF9"/>
    <w:rsid w:val="009F4DE8"/>
    <w:rsid w:val="009F4F43"/>
    <w:rsid w:val="00A03C56"/>
    <w:rsid w:val="00A0784F"/>
    <w:rsid w:val="00A105A3"/>
    <w:rsid w:val="00A1085E"/>
    <w:rsid w:val="00A13047"/>
    <w:rsid w:val="00A14A1C"/>
    <w:rsid w:val="00A14C4E"/>
    <w:rsid w:val="00A1544D"/>
    <w:rsid w:val="00A17C23"/>
    <w:rsid w:val="00A20452"/>
    <w:rsid w:val="00A21056"/>
    <w:rsid w:val="00A222B1"/>
    <w:rsid w:val="00A22FC3"/>
    <w:rsid w:val="00A2340C"/>
    <w:rsid w:val="00A27A0D"/>
    <w:rsid w:val="00A3258C"/>
    <w:rsid w:val="00A32743"/>
    <w:rsid w:val="00A4607D"/>
    <w:rsid w:val="00A4783F"/>
    <w:rsid w:val="00A5341A"/>
    <w:rsid w:val="00A57F3B"/>
    <w:rsid w:val="00A61749"/>
    <w:rsid w:val="00A65B63"/>
    <w:rsid w:val="00A67818"/>
    <w:rsid w:val="00A739CD"/>
    <w:rsid w:val="00A742B8"/>
    <w:rsid w:val="00A749AA"/>
    <w:rsid w:val="00A74EF8"/>
    <w:rsid w:val="00A753E1"/>
    <w:rsid w:val="00A76B01"/>
    <w:rsid w:val="00A808D5"/>
    <w:rsid w:val="00A80B12"/>
    <w:rsid w:val="00A84F7E"/>
    <w:rsid w:val="00A86DFB"/>
    <w:rsid w:val="00A876C1"/>
    <w:rsid w:val="00A91223"/>
    <w:rsid w:val="00A919FD"/>
    <w:rsid w:val="00A936F7"/>
    <w:rsid w:val="00AA0F04"/>
    <w:rsid w:val="00AA0F16"/>
    <w:rsid w:val="00AA173F"/>
    <w:rsid w:val="00AA46B8"/>
    <w:rsid w:val="00AA6668"/>
    <w:rsid w:val="00AA6CE4"/>
    <w:rsid w:val="00AA7BB3"/>
    <w:rsid w:val="00AA7EB9"/>
    <w:rsid w:val="00AB61EB"/>
    <w:rsid w:val="00AC5582"/>
    <w:rsid w:val="00AC5603"/>
    <w:rsid w:val="00AC64CA"/>
    <w:rsid w:val="00AD1E34"/>
    <w:rsid w:val="00AD5817"/>
    <w:rsid w:val="00AE28B9"/>
    <w:rsid w:val="00AE4D47"/>
    <w:rsid w:val="00AE5115"/>
    <w:rsid w:val="00AE5A7B"/>
    <w:rsid w:val="00AE5F51"/>
    <w:rsid w:val="00B01AE9"/>
    <w:rsid w:val="00B04F72"/>
    <w:rsid w:val="00B07728"/>
    <w:rsid w:val="00B13E36"/>
    <w:rsid w:val="00B3054E"/>
    <w:rsid w:val="00B3277E"/>
    <w:rsid w:val="00B3423F"/>
    <w:rsid w:val="00B55BA2"/>
    <w:rsid w:val="00B55BE1"/>
    <w:rsid w:val="00B56672"/>
    <w:rsid w:val="00B6043F"/>
    <w:rsid w:val="00B6193D"/>
    <w:rsid w:val="00B626A2"/>
    <w:rsid w:val="00B6698C"/>
    <w:rsid w:val="00B77872"/>
    <w:rsid w:val="00B8156C"/>
    <w:rsid w:val="00B83345"/>
    <w:rsid w:val="00B86122"/>
    <w:rsid w:val="00B8760A"/>
    <w:rsid w:val="00B90FB1"/>
    <w:rsid w:val="00B96B00"/>
    <w:rsid w:val="00BA4702"/>
    <w:rsid w:val="00BA5704"/>
    <w:rsid w:val="00BA5930"/>
    <w:rsid w:val="00BA7898"/>
    <w:rsid w:val="00BB2016"/>
    <w:rsid w:val="00BB596F"/>
    <w:rsid w:val="00BB7DC8"/>
    <w:rsid w:val="00BC0106"/>
    <w:rsid w:val="00BC092E"/>
    <w:rsid w:val="00BC2845"/>
    <w:rsid w:val="00BC3721"/>
    <w:rsid w:val="00BC5FBA"/>
    <w:rsid w:val="00BD4599"/>
    <w:rsid w:val="00BE79C5"/>
    <w:rsid w:val="00BF1C34"/>
    <w:rsid w:val="00BF6B98"/>
    <w:rsid w:val="00C05684"/>
    <w:rsid w:val="00C12671"/>
    <w:rsid w:val="00C13B5C"/>
    <w:rsid w:val="00C17338"/>
    <w:rsid w:val="00C200C2"/>
    <w:rsid w:val="00C22E82"/>
    <w:rsid w:val="00C235CD"/>
    <w:rsid w:val="00C27351"/>
    <w:rsid w:val="00C32B4B"/>
    <w:rsid w:val="00C34CC0"/>
    <w:rsid w:val="00C358C5"/>
    <w:rsid w:val="00C36B85"/>
    <w:rsid w:val="00C41C72"/>
    <w:rsid w:val="00C4486F"/>
    <w:rsid w:val="00C45B83"/>
    <w:rsid w:val="00C46101"/>
    <w:rsid w:val="00C503FD"/>
    <w:rsid w:val="00C50DE9"/>
    <w:rsid w:val="00C56C95"/>
    <w:rsid w:val="00C600BF"/>
    <w:rsid w:val="00C6158E"/>
    <w:rsid w:val="00C64896"/>
    <w:rsid w:val="00C65879"/>
    <w:rsid w:val="00C660D1"/>
    <w:rsid w:val="00C74F55"/>
    <w:rsid w:val="00C74F7F"/>
    <w:rsid w:val="00C7539C"/>
    <w:rsid w:val="00C7585C"/>
    <w:rsid w:val="00C80633"/>
    <w:rsid w:val="00C80AD3"/>
    <w:rsid w:val="00C81216"/>
    <w:rsid w:val="00C82597"/>
    <w:rsid w:val="00C83B95"/>
    <w:rsid w:val="00C92177"/>
    <w:rsid w:val="00C95115"/>
    <w:rsid w:val="00CA0AD6"/>
    <w:rsid w:val="00CA1535"/>
    <w:rsid w:val="00CA3FBB"/>
    <w:rsid w:val="00CA4EA0"/>
    <w:rsid w:val="00CA5F7E"/>
    <w:rsid w:val="00CB1C4A"/>
    <w:rsid w:val="00CB45CC"/>
    <w:rsid w:val="00CB63DE"/>
    <w:rsid w:val="00CB6824"/>
    <w:rsid w:val="00CC0582"/>
    <w:rsid w:val="00CC1967"/>
    <w:rsid w:val="00CC2B0A"/>
    <w:rsid w:val="00CC6870"/>
    <w:rsid w:val="00CC77B0"/>
    <w:rsid w:val="00CD0B6A"/>
    <w:rsid w:val="00CD0F80"/>
    <w:rsid w:val="00CD11C0"/>
    <w:rsid w:val="00CD3FC7"/>
    <w:rsid w:val="00CE1083"/>
    <w:rsid w:val="00CE188B"/>
    <w:rsid w:val="00CE3033"/>
    <w:rsid w:val="00CE44A0"/>
    <w:rsid w:val="00CE7945"/>
    <w:rsid w:val="00CE7E81"/>
    <w:rsid w:val="00CF087B"/>
    <w:rsid w:val="00CF15EF"/>
    <w:rsid w:val="00CF2F78"/>
    <w:rsid w:val="00CF3AFF"/>
    <w:rsid w:val="00CF52BA"/>
    <w:rsid w:val="00CF6E5C"/>
    <w:rsid w:val="00D04CBB"/>
    <w:rsid w:val="00D10970"/>
    <w:rsid w:val="00D11A45"/>
    <w:rsid w:val="00D11C5B"/>
    <w:rsid w:val="00D2289B"/>
    <w:rsid w:val="00D22FE7"/>
    <w:rsid w:val="00D24EB0"/>
    <w:rsid w:val="00D27FFD"/>
    <w:rsid w:val="00D317F5"/>
    <w:rsid w:val="00D34044"/>
    <w:rsid w:val="00D35DA4"/>
    <w:rsid w:val="00D37178"/>
    <w:rsid w:val="00D371F4"/>
    <w:rsid w:val="00D37A0D"/>
    <w:rsid w:val="00D441DF"/>
    <w:rsid w:val="00D509ED"/>
    <w:rsid w:val="00D51315"/>
    <w:rsid w:val="00D51641"/>
    <w:rsid w:val="00D54C62"/>
    <w:rsid w:val="00D55B13"/>
    <w:rsid w:val="00D57CDF"/>
    <w:rsid w:val="00D608AE"/>
    <w:rsid w:val="00D64A10"/>
    <w:rsid w:val="00D65317"/>
    <w:rsid w:val="00D653AD"/>
    <w:rsid w:val="00D67373"/>
    <w:rsid w:val="00D67E97"/>
    <w:rsid w:val="00D72678"/>
    <w:rsid w:val="00D828DA"/>
    <w:rsid w:val="00D83D00"/>
    <w:rsid w:val="00D85515"/>
    <w:rsid w:val="00D87FA2"/>
    <w:rsid w:val="00D91A67"/>
    <w:rsid w:val="00D921E6"/>
    <w:rsid w:val="00D923A6"/>
    <w:rsid w:val="00D92E0A"/>
    <w:rsid w:val="00D93BFC"/>
    <w:rsid w:val="00D9411B"/>
    <w:rsid w:val="00D95711"/>
    <w:rsid w:val="00DA0C3D"/>
    <w:rsid w:val="00DA3990"/>
    <w:rsid w:val="00DA5197"/>
    <w:rsid w:val="00DB0FFD"/>
    <w:rsid w:val="00DB1B98"/>
    <w:rsid w:val="00DB53E0"/>
    <w:rsid w:val="00DB659B"/>
    <w:rsid w:val="00DC3A7E"/>
    <w:rsid w:val="00DC429F"/>
    <w:rsid w:val="00DC67F5"/>
    <w:rsid w:val="00DC6C26"/>
    <w:rsid w:val="00DE048B"/>
    <w:rsid w:val="00DE37C9"/>
    <w:rsid w:val="00DE3E8A"/>
    <w:rsid w:val="00DE41E2"/>
    <w:rsid w:val="00DE6F5E"/>
    <w:rsid w:val="00DE7504"/>
    <w:rsid w:val="00DE7E47"/>
    <w:rsid w:val="00DF078C"/>
    <w:rsid w:val="00DF093B"/>
    <w:rsid w:val="00DF0E46"/>
    <w:rsid w:val="00DF6874"/>
    <w:rsid w:val="00DF739C"/>
    <w:rsid w:val="00E02CEA"/>
    <w:rsid w:val="00E03929"/>
    <w:rsid w:val="00E04A73"/>
    <w:rsid w:val="00E06850"/>
    <w:rsid w:val="00E12C06"/>
    <w:rsid w:val="00E13DEB"/>
    <w:rsid w:val="00E14557"/>
    <w:rsid w:val="00E176BF"/>
    <w:rsid w:val="00E23747"/>
    <w:rsid w:val="00E24F85"/>
    <w:rsid w:val="00E2563E"/>
    <w:rsid w:val="00E30D76"/>
    <w:rsid w:val="00E3584D"/>
    <w:rsid w:val="00E36393"/>
    <w:rsid w:val="00E3693E"/>
    <w:rsid w:val="00E40938"/>
    <w:rsid w:val="00E42685"/>
    <w:rsid w:val="00E42CB2"/>
    <w:rsid w:val="00E4340A"/>
    <w:rsid w:val="00E43CCE"/>
    <w:rsid w:val="00E4482A"/>
    <w:rsid w:val="00E46F32"/>
    <w:rsid w:val="00E47036"/>
    <w:rsid w:val="00E513CB"/>
    <w:rsid w:val="00E519E8"/>
    <w:rsid w:val="00E51B5C"/>
    <w:rsid w:val="00E528E6"/>
    <w:rsid w:val="00E547E4"/>
    <w:rsid w:val="00E552E0"/>
    <w:rsid w:val="00E55892"/>
    <w:rsid w:val="00E55DE5"/>
    <w:rsid w:val="00E560BF"/>
    <w:rsid w:val="00E5615E"/>
    <w:rsid w:val="00E64505"/>
    <w:rsid w:val="00E65EA9"/>
    <w:rsid w:val="00E67036"/>
    <w:rsid w:val="00E70FC2"/>
    <w:rsid w:val="00E71039"/>
    <w:rsid w:val="00E75D7C"/>
    <w:rsid w:val="00E8057E"/>
    <w:rsid w:val="00E92037"/>
    <w:rsid w:val="00E95276"/>
    <w:rsid w:val="00E95360"/>
    <w:rsid w:val="00EA1F62"/>
    <w:rsid w:val="00EA3397"/>
    <w:rsid w:val="00EA367B"/>
    <w:rsid w:val="00EA61A1"/>
    <w:rsid w:val="00EA62E0"/>
    <w:rsid w:val="00EB15BF"/>
    <w:rsid w:val="00EB6C18"/>
    <w:rsid w:val="00EC19A3"/>
    <w:rsid w:val="00EC41B7"/>
    <w:rsid w:val="00EC6A5C"/>
    <w:rsid w:val="00ED1C88"/>
    <w:rsid w:val="00ED4604"/>
    <w:rsid w:val="00ED5B09"/>
    <w:rsid w:val="00ED5CBB"/>
    <w:rsid w:val="00ED6BC3"/>
    <w:rsid w:val="00EE329C"/>
    <w:rsid w:val="00EE7EED"/>
    <w:rsid w:val="00EF1933"/>
    <w:rsid w:val="00EF2F14"/>
    <w:rsid w:val="00F02E28"/>
    <w:rsid w:val="00F120FB"/>
    <w:rsid w:val="00F12B7E"/>
    <w:rsid w:val="00F14580"/>
    <w:rsid w:val="00F254FD"/>
    <w:rsid w:val="00F305A0"/>
    <w:rsid w:val="00F32D0D"/>
    <w:rsid w:val="00F355E3"/>
    <w:rsid w:val="00F425F8"/>
    <w:rsid w:val="00F426A2"/>
    <w:rsid w:val="00F52222"/>
    <w:rsid w:val="00F53768"/>
    <w:rsid w:val="00F5508E"/>
    <w:rsid w:val="00F73FCA"/>
    <w:rsid w:val="00F800C6"/>
    <w:rsid w:val="00F8240A"/>
    <w:rsid w:val="00F84039"/>
    <w:rsid w:val="00F86C6F"/>
    <w:rsid w:val="00F8727B"/>
    <w:rsid w:val="00F91383"/>
    <w:rsid w:val="00F945A4"/>
    <w:rsid w:val="00F974EF"/>
    <w:rsid w:val="00F97621"/>
    <w:rsid w:val="00FA02C1"/>
    <w:rsid w:val="00FA0F10"/>
    <w:rsid w:val="00FA3AF3"/>
    <w:rsid w:val="00FA5CC3"/>
    <w:rsid w:val="00FA6B79"/>
    <w:rsid w:val="00FB064D"/>
    <w:rsid w:val="00FB5672"/>
    <w:rsid w:val="00FB71D4"/>
    <w:rsid w:val="00FC2D41"/>
    <w:rsid w:val="00FC51B5"/>
    <w:rsid w:val="00FC56FA"/>
    <w:rsid w:val="00FC619B"/>
    <w:rsid w:val="00FC6D11"/>
    <w:rsid w:val="00FD61E2"/>
    <w:rsid w:val="00FD7850"/>
    <w:rsid w:val="00FE21B9"/>
    <w:rsid w:val="00FE2A96"/>
    <w:rsid w:val="00FF13ED"/>
    <w:rsid w:val="00FF19FC"/>
    <w:rsid w:val="00FF3012"/>
    <w:rsid w:val="00FF7361"/>
    <w:rsid w:val="127B11F4"/>
    <w:rsid w:val="19057357"/>
    <w:rsid w:val="23D90436"/>
    <w:rsid w:val="33833AF0"/>
    <w:rsid w:val="3B0058F3"/>
    <w:rsid w:val="43A6239C"/>
    <w:rsid w:val="4AA73856"/>
    <w:rsid w:val="4B9721AA"/>
    <w:rsid w:val="6FFF9C28"/>
    <w:rsid w:val="7B6A807E"/>
    <w:rsid w:val="7CBDEB8A"/>
    <w:rsid w:val="D6BEC9AA"/>
    <w:rsid w:val="F9EFBFFF"/>
    <w:rsid w:val="F9FFF241"/>
    <w:rsid w:val="FFFB1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6"/>
    <w:qFormat/>
    <w:uiPriority w:val="0"/>
    <w:pPr>
      <w:spacing w:before="340" w:after="330" w:line="480" w:lineRule="atLeast"/>
      <w:jc w:val="center"/>
      <w:outlineLvl w:val="0"/>
    </w:pPr>
    <w:rPr>
      <w:rFonts w:hint="eastAsia" w:ascii="宋体" w:hAnsi="宋体" w:eastAsia="黑体"/>
      <w:b/>
      <w:kern w:val="44"/>
      <w:sz w:val="44"/>
      <w:szCs w:val="48"/>
    </w:rPr>
  </w:style>
  <w:style w:type="paragraph" w:styleId="3">
    <w:name w:val="heading 2"/>
    <w:basedOn w:val="1"/>
    <w:next w:val="1"/>
    <w:link w:val="30"/>
    <w:unhideWhenUsed/>
    <w:qFormat/>
    <w:uiPriority w:val="9"/>
    <w:pPr>
      <w:keepNext/>
      <w:keepLines/>
      <w:spacing w:before="260" w:after="260" w:line="480" w:lineRule="atLeast"/>
      <w:jc w:val="center"/>
      <w:outlineLvl w:val="1"/>
    </w:pPr>
    <w:rPr>
      <w:rFonts w:eastAsia="黑体" w:asciiTheme="majorHAnsi" w:hAnsiTheme="majorHAnsi" w:cstheme="majorBidi"/>
      <w:b/>
      <w:bCs/>
      <w:sz w:val="36"/>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4"/>
    <w:qFormat/>
    <w:uiPriority w:val="0"/>
    <w:pPr>
      <w:jc w:val="left"/>
    </w:pPr>
  </w:style>
  <w:style w:type="paragraph" w:styleId="6">
    <w:name w:val="Body Text"/>
    <w:basedOn w:val="1"/>
    <w:link w:val="29"/>
    <w:qFormat/>
    <w:uiPriority w:val="1"/>
    <w:pPr>
      <w:autoSpaceDE w:val="0"/>
      <w:autoSpaceDN w:val="0"/>
      <w:adjustRightInd w:val="0"/>
      <w:spacing w:before="236"/>
      <w:ind w:left="120"/>
      <w:jc w:val="left"/>
    </w:pPr>
    <w:rPr>
      <w:rFonts w:ascii="仿宋" w:hAnsi="Times New Roman" w:eastAsia="仿宋" w:cs="仿宋"/>
      <w:kern w:val="0"/>
      <w:sz w:val="28"/>
      <w:szCs w:val="28"/>
    </w:rPr>
  </w:style>
  <w:style w:type="paragraph" w:styleId="7">
    <w:name w:val="Balloon Text"/>
    <w:basedOn w:val="1"/>
    <w:link w:val="25"/>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tabs>
        <w:tab w:val="right" w:leader="dot" w:pos="9494"/>
      </w:tabs>
      <w:spacing w:line="360" w:lineRule="auto"/>
      <w:ind w:left="420" w:leftChars="200"/>
    </w:pPr>
  </w:style>
  <w:style w:type="paragraph" w:styleId="12">
    <w:name w:val="Normal (Web)"/>
    <w:basedOn w:val="1"/>
    <w:qFormat/>
    <w:uiPriority w:val="99"/>
    <w:pPr>
      <w:jc w:val="left"/>
    </w:pPr>
    <w:rPr>
      <w:rFonts w:asciiTheme="minorHAnsi" w:hAnsiTheme="minorHAnsi" w:eastAsiaTheme="minorEastAsia"/>
      <w:kern w:val="0"/>
      <w:sz w:val="24"/>
    </w:rPr>
  </w:style>
  <w:style w:type="paragraph" w:styleId="13">
    <w:name w:val="Title"/>
    <w:basedOn w:val="1"/>
    <w:next w:val="1"/>
    <w:link w:val="33"/>
    <w:qFormat/>
    <w:uiPriority w:val="0"/>
    <w:pPr>
      <w:spacing w:before="240" w:after="60"/>
      <w:ind w:firstLine="200" w:firstLineChars="200"/>
      <w:jc w:val="center"/>
      <w:outlineLvl w:val="0"/>
    </w:pPr>
    <w:rPr>
      <w:rFonts w:ascii="Cambria" w:hAnsi="Cambria" w:eastAsia="黑体"/>
      <w:b/>
      <w:bCs/>
      <w:sz w:val="44"/>
      <w:szCs w:val="32"/>
    </w:rPr>
  </w:style>
  <w:style w:type="paragraph" w:styleId="14">
    <w:name w:val="annotation subject"/>
    <w:basedOn w:val="5"/>
    <w:next w:val="5"/>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qFormat/>
    <w:uiPriority w:val="0"/>
    <w:rPr>
      <w:sz w:val="21"/>
      <w:szCs w:val="21"/>
    </w:rPr>
  </w:style>
  <w:style w:type="character" w:customStyle="1" w:styleId="21">
    <w:name w:val="页眉 字符"/>
    <w:basedOn w:val="17"/>
    <w:link w:val="9"/>
    <w:qFormat/>
    <w:uiPriority w:val="99"/>
    <w:rPr>
      <w:sz w:val="18"/>
      <w:szCs w:val="18"/>
    </w:rPr>
  </w:style>
  <w:style w:type="character" w:customStyle="1" w:styleId="22">
    <w:name w:val="页脚 字符"/>
    <w:basedOn w:val="17"/>
    <w:link w:val="8"/>
    <w:qFormat/>
    <w:uiPriority w:val="99"/>
    <w:rPr>
      <w:sz w:val="18"/>
      <w:szCs w:val="18"/>
    </w:rPr>
  </w:style>
  <w:style w:type="paragraph" w:customStyle="1" w:styleId="23">
    <w:name w:val="正文（缩进）"/>
    <w:basedOn w:val="1"/>
    <w:qFormat/>
    <w:uiPriority w:val="99"/>
    <w:pPr>
      <w:spacing w:beforeLines="50" w:afterLines="50"/>
      <w:ind w:firstLine="480"/>
    </w:pPr>
  </w:style>
  <w:style w:type="character" w:customStyle="1" w:styleId="24">
    <w:name w:val="批注文字 字符"/>
    <w:basedOn w:val="17"/>
    <w:link w:val="5"/>
    <w:qFormat/>
    <w:uiPriority w:val="0"/>
    <w:rPr>
      <w:rFonts w:ascii="Calibri" w:hAnsi="Calibri" w:eastAsia="宋体" w:cs="Times New Roman"/>
      <w:szCs w:val="24"/>
    </w:rPr>
  </w:style>
  <w:style w:type="character" w:customStyle="1" w:styleId="25">
    <w:name w:val="批注框文本 字符"/>
    <w:basedOn w:val="17"/>
    <w:link w:val="7"/>
    <w:semiHidden/>
    <w:qFormat/>
    <w:uiPriority w:val="99"/>
    <w:rPr>
      <w:rFonts w:ascii="Calibri" w:hAnsi="Calibri" w:eastAsia="宋体" w:cs="Times New Roman"/>
      <w:sz w:val="18"/>
      <w:szCs w:val="18"/>
    </w:rPr>
  </w:style>
  <w:style w:type="character" w:customStyle="1" w:styleId="26">
    <w:name w:val="标题 1 字符"/>
    <w:basedOn w:val="17"/>
    <w:link w:val="2"/>
    <w:qFormat/>
    <w:uiPriority w:val="0"/>
    <w:rPr>
      <w:rFonts w:ascii="宋体" w:hAnsi="宋体" w:eastAsia="黑体"/>
      <w:b/>
      <w:kern w:val="44"/>
      <w:sz w:val="44"/>
      <w:szCs w:val="48"/>
    </w:rPr>
  </w:style>
  <w:style w:type="character" w:customStyle="1" w:styleId="27">
    <w:name w:val="标题 3 字符"/>
    <w:basedOn w:val="17"/>
    <w:link w:val="4"/>
    <w:semiHidden/>
    <w:qFormat/>
    <w:uiPriority w:val="9"/>
    <w:rPr>
      <w:rFonts w:ascii="Calibri" w:hAnsi="Calibri" w:eastAsia="宋体" w:cs="Times New Roman"/>
      <w:b/>
      <w:bCs/>
      <w:sz w:val="32"/>
      <w:szCs w:val="32"/>
    </w:rPr>
  </w:style>
  <w:style w:type="paragraph" w:styleId="28">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29">
    <w:name w:val="正文文本 字符"/>
    <w:basedOn w:val="17"/>
    <w:link w:val="6"/>
    <w:qFormat/>
    <w:uiPriority w:val="99"/>
    <w:rPr>
      <w:rFonts w:ascii="仿宋" w:hAnsi="Times New Roman" w:eastAsia="仿宋" w:cs="仿宋"/>
      <w:kern w:val="0"/>
      <w:sz w:val="28"/>
      <w:szCs w:val="28"/>
    </w:rPr>
  </w:style>
  <w:style w:type="character" w:customStyle="1" w:styleId="30">
    <w:name w:val="标题 2 字符"/>
    <w:basedOn w:val="17"/>
    <w:link w:val="3"/>
    <w:qFormat/>
    <w:uiPriority w:val="9"/>
    <w:rPr>
      <w:rFonts w:eastAsia="黑体" w:asciiTheme="majorHAnsi" w:hAnsiTheme="majorHAnsi" w:cstheme="majorBidi"/>
      <w:b/>
      <w:bCs/>
      <w:kern w:val="2"/>
      <w:sz w:val="36"/>
      <w:szCs w:val="32"/>
    </w:rPr>
  </w:style>
  <w:style w:type="character" w:customStyle="1" w:styleId="31">
    <w:name w:val="批注主题 字符"/>
    <w:basedOn w:val="24"/>
    <w:link w:val="14"/>
    <w:semiHidden/>
    <w:qFormat/>
    <w:uiPriority w:val="99"/>
    <w:rPr>
      <w:rFonts w:ascii="Calibri" w:hAnsi="Calibri" w:eastAsia="宋体" w:cs="Times New Roman"/>
      <w:b/>
      <w:bCs/>
      <w:szCs w:val="24"/>
    </w:rPr>
  </w:style>
  <w:style w:type="paragraph" w:customStyle="1" w:styleId="32">
    <w:name w:val="TOC 标题1"/>
    <w:basedOn w:val="2"/>
    <w:next w:val="1"/>
    <w:unhideWhenUsed/>
    <w:qFormat/>
    <w:uiPriority w:val="39"/>
    <w:pPr>
      <w:keepNext/>
      <w:keepLines/>
      <w:widowControl/>
      <w:spacing w:before="240" w:after="0" w:line="259" w:lineRule="auto"/>
      <w:outlineLvl w:val="9"/>
    </w:pPr>
    <w:rPr>
      <w:rFonts w:hint="default" w:asciiTheme="majorHAnsi" w:hAnsiTheme="majorHAnsi" w:eastAsiaTheme="majorEastAsia" w:cstheme="majorBidi"/>
      <w:b w:val="0"/>
      <w:color w:val="2F5597" w:themeColor="accent1" w:themeShade="BF"/>
      <w:kern w:val="0"/>
      <w:sz w:val="32"/>
      <w:szCs w:val="32"/>
    </w:rPr>
  </w:style>
  <w:style w:type="character" w:customStyle="1" w:styleId="33">
    <w:name w:val="标题 字符"/>
    <w:basedOn w:val="17"/>
    <w:link w:val="13"/>
    <w:qFormat/>
    <w:uiPriority w:val="0"/>
    <w:rPr>
      <w:rFonts w:ascii="Cambria" w:hAnsi="Cambria" w:eastAsia="黑体"/>
      <w:b/>
      <w:bCs/>
      <w:kern w:val="2"/>
      <w:sz w:val="44"/>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chart" Target="charts/chart12.xml"/><Relationship Id="rId2" Type="http://schemas.openxmlformats.org/officeDocument/2006/relationships/settings" Target="settings.xml"/><Relationship Id="rId19" Type="http://schemas.openxmlformats.org/officeDocument/2006/relationships/chart" Target="charts/chart11.xml"/><Relationship Id="rId18" Type="http://schemas.openxmlformats.org/officeDocument/2006/relationships/chart" Target="charts/chart10.xml"/><Relationship Id="rId17" Type="http://schemas.openxmlformats.org/officeDocument/2006/relationships/chart" Target="charts/chart9.xml"/><Relationship Id="rId16" Type="http://schemas.openxmlformats.org/officeDocument/2006/relationships/chart" Target="charts/chart8.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1&#21313;&#22235;&#20116;&#27665;&#25919;&#35268;&#21010;\1&#25104;&#26524;\0&#38468;&#20214;&#25104;&#26524;\&#25253;&#21578;&#20869;&#30340;&#34920;&#26684;\&#20859;&#32769;1\2-&#22478;&#24066;&#31038;&#21306;&#32769;&#24180;&#20154;&#26085;&#38388;&#29031;&#26009;&#20013;&#24515;11111.xls"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1&#21313;&#22235;&#20116;&#27665;&#25919;&#35268;&#21010;\0&#20934;&#22791;&#24037;&#20316;\&#25910;&#38598;&#36164;&#26009;\&#31038;&#21306;&#24314;&#35774;&#35268;&#21010;&#36164;&#26009;\&#35268;&#33539;&#21270;&#31038;&#21306;&#35268;&#21010;.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1&#21313;&#22235;&#20116;&#27665;&#25919;&#35268;&#21010;\1&#25104;&#26524;\0&#38468;&#20214;&#25104;&#26524;\&#38468;&#34920;\11&#35268;&#33539;&#21270;&#31038;&#21306;&#35268;&#21010;.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1&#21313;&#22235;&#20116;&#27665;&#25919;&#35268;&#21010;\1&#25104;&#26524;\0&#38468;&#20214;&#25104;&#26524;\&#25253;&#21578;&#20869;&#30340;&#34920;&#26684;\&#31038;&#20250;&#20107;&#21153;1\&#35745;&#21010;&#26032;&#24314;&#20844;&#30410;&#24615;&#20844;&#226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21313;&#22235;&#20116;&#27665;&#25919;&#35268;&#21010;\1&#25104;&#26524;\0&#38468;&#20214;&#25104;&#26524;\&#38468;&#34920;\&#28966;&#20316;&#24066;&#20892;&#26449;&#24184;&#31119;&#38498;&#32479;&#35745;&#34920;&#65288;&#25130;&#27490;2021.03&#65289;.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4&#21313;&#22235;&#20116;&#27665;&#25919;&#35268;&#21010;\&#25104;&#26524;\&#34920;&#26684;\&#20859;&#32769;1\1-&#25964;&#32769;&#38498;1111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4&#21313;&#22235;&#20116;&#27665;&#25919;&#35268;&#21010;\&#25104;&#26524;\&#34920;&#26684;\&#20859;&#32769;1\1-&#25964;&#32769;&#38498;111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21313;&#22235;&#20116;&#27665;&#25919;&#35268;&#21010;\1&#25104;&#26524;\0&#38468;&#20214;&#25104;&#26524;\&#25253;&#21578;&#20869;&#30340;&#34920;&#26684;\&#20859;&#32769;1\5-&#32769;&#24180;&#20154;&#21475;&#20449;&#24687;11111.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M1&#21313;&#22235;&#20116;&#27665;&#25919;&#35268;&#21010;\1&#25104;&#26524;\0&#38468;&#20214;&#25104;&#26524;\&#25253;&#21578;&#20869;&#30340;&#34920;&#26684;\&#20799;&#31461;&#31119;&#21033;1\&#28966;&#20316;&#24066;&#20799;&#31461;&#20043;&#23478;&#27719;&#24635;&#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21313;&#22235;&#20116;&#27665;&#25919;&#35268;&#21010;\1&#25104;&#26524;\0&#38468;&#20214;&#25104;&#26524;\&#25253;&#21578;&#20869;&#30340;&#34920;&#26684;\&#24904;&#21892;&#31038;&#24037;1\&#24904;&#21892;&#36229;&#24066;&#24773;&#20917;&#32479;&#35745;&#34920;111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4&#21313;&#22235;&#20116;&#27665;&#25919;&#35268;&#21010;\&#25104;&#26524;\&#34920;&#26684;\&#24904;&#21892;&#31038;&#24037;\2020&#28966;&#20316;&#24066;&#31119;&#24425;&#26368;&#26032;&#32593;&#28857;&#20449;&#24687;&#25968;&#37327;&#34920;.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4&#21313;&#22235;&#20116;&#27665;&#25919;&#35268;&#21010;\&#25104;&#26524;\&#34920;&#26684;\&#24904;&#21892;&#31038;&#24037;1\2020&#28966;&#20316;&#24066;&#31119;&#24425;&#26368;&#26032;&#32593;&#28857;&#20449;&#24687;&#25968;&#37327;&#34920;1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Sheet1!$A$2</c:f>
              <c:strCache>
                <c:ptCount val="1"/>
                <c:pt idx="0">
                  <c:v>照料中心</c:v>
                </c:pt>
              </c:strCache>
            </c:strRef>
          </c:tx>
          <c:spPr>
            <a:solidFill>
              <a:schemeClr val="accent1"/>
            </a:solidFill>
            <a:ln>
              <a:noFill/>
            </a:ln>
            <a:effectLst>
              <a:outerShdw blurRad="50800" dist="38100" dir="10800000" algn="r" rotWithShape="0">
                <a:prstClr val="black">
                  <a:alpha val="40000"/>
                </a:prstClr>
              </a:outerShdw>
            </a:effectLst>
            <a:sp3d/>
          </c:spPr>
          <c:invertIfNegative val="false"/>
          <c:dLbls>
            <c:delete val="true"/>
          </c:dLbls>
          <c:cat>
            <c:strRef>
              <c:f>Sheet1!$B$1:$L$1</c:f>
              <c:strCache>
                <c:ptCount val="11"/>
                <c:pt idx="0">
                  <c:v>解放区</c:v>
                </c:pt>
                <c:pt idx="1">
                  <c:v>山阳区</c:v>
                </c:pt>
                <c:pt idx="2">
                  <c:v>中站区</c:v>
                </c:pt>
                <c:pt idx="3">
                  <c:v>马村区</c:v>
                </c:pt>
                <c:pt idx="4">
                  <c:v>示范区</c:v>
                </c:pt>
                <c:pt idx="5">
                  <c:v>沁阳市</c:v>
                </c:pt>
                <c:pt idx="6">
                  <c:v>孟州市</c:v>
                </c:pt>
                <c:pt idx="7">
                  <c:v>温县</c:v>
                </c:pt>
                <c:pt idx="8">
                  <c:v>博爱县</c:v>
                </c:pt>
                <c:pt idx="9">
                  <c:v>武陟县</c:v>
                </c:pt>
                <c:pt idx="10">
                  <c:v>修武县</c:v>
                </c:pt>
              </c:strCache>
            </c:strRef>
          </c:cat>
          <c:val>
            <c:numRef>
              <c:f>Sheet1!$B$2:$L$2</c:f>
              <c:numCache>
                <c:formatCode>General</c:formatCode>
                <c:ptCount val="11"/>
                <c:pt idx="0">
                  <c:v>44</c:v>
                </c:pt>
                <c:pt idx="1">
                  <c:v>34</c:v>
                </c:pt>
                <c:pt idx="2">
                  <c:v>11</c:v>
                </c:pt>
                <c:pt idx="3">
                  <c:v>13</c:v>
                </c:pt>
                <c:pt idx="4">
                  <c:v>9</c:v>
                </c:pt>
                <c:pt idx="5">
                  <c:v>21</c:v>
                </c:pt>
                <c:pt idx="6">
                  <c:v>15</c:v>
                </c:pt>
                <c:pt idx="7">
                  <c:v>9</c:v>
                </c:pt>
                <c:pt idx="8">
                  <c:v>5</c:v>
                </c:pt>
                <c:pt idx="9">
                  <c:v>16</c:v>
                </c:pt>
                <c:pt idx="10">
                  <c:v>4</c:v>
                </c:pt>
              </c:numCache>
            </c:numRef>
          </c:val>
        </c:ser>
        <c:dLbls>
          <c:showLegendKey val="false"/>
          <c:showVal val="false"/>
          <c:showCatName val="false"/>
          <c:showSerName val="false"/>
          <c:showPercent val="false"/>
          <c:showBubbleSize val="false"/>
        </c:dLbls>
        <c:gapWidth val="150"/>
        <c:overlap val="100"/>
        <c:axId val="532306632"/>
        <c:axId val="1"/>
      </c:barChart>
      <c:catAx>
        <c:axId val="532306632"/>
        <c:scaling>
          <c:orientation val="minMax"/>
        </c:scaling>
        <c:delete val="false"/>
        <c:axPos val="b"/>
        <c:numFmt formatCode="General" sourceLinked="true"/>
        <c:majorTickMark val="none"/>
        <c:minorTickMark val="none"/>
        <c:tickLblPos val="nextTo"/>
        <c:spPr>
          <a:ln w="6350" cap="flat" cmpd="sng" algn="ctr">
            <a:noFill/>
            <a:prstDash val="solid"/>
            <a:round/>
          </a:ln>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
        <c:crosses val="autoZero"/>
        <c:auto val="true"/>
        <c:lblAlgn val="ctr"/>
        <c:lblOffset val="100"/>
        <c:noMultiLvlLbl val="false"/>
      </c:catAx>
      <c:valAx>
        <c:axId val="1"/>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ln w="6350" cap="flat" cmpd="sng" algn="ctr">
            <a:noFill/>
            <a:prstDash val="solid"/>
            <a:round/>
          </a:ln>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532306632"/>
        <c:crosses val="autoZero"/>
        <c:crossBetween val="between"/>
      </c:valAx>
      <c:spPr>
        <a:noFill/>
        <a:ln w="25400">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spPr>
            <a:solidFill>
              <a:schemeClr val="accent1"/>
            </a:solidFill>
            <a:ln>
              <a:noFill/>
            </a:ln>
            <a:effectLst/>
          </c:spPr>
          <c:invertIfNegative val="false"/>
          <c:dLbls>
            <c:delete val="true"/>
          </c:dLbls>
          <c:cat>
            <c:strRef>
              <c:f>汇总!$B$1:$L$1</c:f>
              <c:strCache>
                <c:ptCount val="11"/>
                <c:pt idx="0">
                  <c:v>解放区</c:v>
                </c:pt>
                <c:pt idx="1">
                  <c:v>山阳区</c:v>
                </c:pt>
                <c:pt idx="2">
                  <c:v>中站区</c:v>
                </c:pt>
                <c:pt idx="3">
                  <c:v>马村区</c:v>
                </c:pt>
                <c:pt idx="4">
                  <c:v>示范区</c:v>
                </c:pt>
                <c:pt idx="5">
                  <c:v>沁阳市</c:v>
                </c:pt>
                <c:pt idx="6">
                  <c:v>孟州市</c:v>
                </c:pt>
                <c:pt idx="7">
                  <c:v>温县</c:v>
                </c:pt>
                <c:pt idx="8">
                  <c:v>博爱县</c:v>
                </c:pt>
                <c:pt idx="9">
                  <c:v>武陟县</c:v>
                </c:pt>
                <c:pt idx="10">
                  <c:v>修武县</c:v>
                </c:pt>
              </c:strCache>
            </c:strRef>
          </c:cat>
          <c:val>
            <c:numRef>
              <c:f>汇总!$B$2:$L$2</c:f>
              <c:numCache>
                <c:formatCode>General</c:formatCode>
                <c:ptCount val="11"/>
                <c:pt idx="0">
                  <c:v>27</c:v>
                </c:pt>
                <c:pt idx="1">
                  <c:v>30</c:v>
                </c:pt>
                <c:pt idx="2">
                  <c:v>10</c:v>
                </c:pt>
                <c:pt idx="3">
                  <c:v>8</c:v>
                </c:pt>
                <c:pt idx="4">
                  <c:v>2</c:v>
                </c:pt>
                <c:pt idx="5">
                  <c:v>19</c:v>
                </c:pt>
                <c:pt idx="6">
                  <c:v>5</c:v>
                </c:pt>
                <c:pt idx="7">
                  <c:v>0</c:v>
                </c:pt>
                <c:pt idx="8">
                  <c:v>2</c:v>
                </c:pt>
                <c:pt idx="9">
                  <c:v>10</c:v>
                </c:pt>
                <c:pt idx="10">
                  <c:v>1</c:v>
                </c:pt>
              </c:numCache>
            </c:numRef>
          </c:val>
        </c:ser>
        <c:dLbls>
          <c:showLegendKey val="false"/>
          <c:showVal val="false"/>
          <c:showCatName val="false"/>
          <c:showSerName val="false"/>
          <c:showPercent val="false"/>
          <c:showBubbleSize val="false"/>
        </c:dLbls>
        <c:gapWidth val="219"/>
        <c:overlap val="-27"/>
        <c:axId val="374795896"/>
        <c:axId val="374796224"/>
      </c:barChart>
      <c:catAx>
        <c:axId val="374795896"/>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374796224"/>
        <c:crosses val="autoZero"/>
        <c:auto val="true"/>
        <c:lblAlgn val="ctr"/>
        <c:lblOffset val="100"/>
        <c:noMultiLvlLbl val="false"/>
      </c:catAx>
      <c:valAx>
        <c:axId val="374796224"/>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374795896"/>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汇总!$A$2</c:f>
              <c:strCache>
                <c:ptCount val="1"/>
                <c:pt idx="0">
                  <c:v>现阶段</c:v>
                </c:pt>
              </c:strCache>
            </c:strRef>
          </c:tx>
          <c:spPr>
            <a:solidFill>
              <a:schemeClr val="accent1"/>
            </a:solidFill>
            <a:ln>
              <a:noFill/>
            </a:ln>
            <a:effectLst/>
          </c:spPr>
          <c:invertIfNegative val="false"/>
          <c:dLbls>
            <c:delete val="true"/>
          </c:dLbls>
          <c:cat>
            <c:strRef>
              <c:f>汇总!$B$1:$L$1</c:f>
              <c:strCache>
                <c:ptCount val="11"/>
                <c:pt idx="0">
                  <c:v>解放区</c:v>
                </c:pt>
                <c:pt idx="1">
                  <c:v>山阳区</c:v>
                </c:pt>
                <c:pt idx="2">
                  <c:v>中站区</c:v>
                </c:pt>
                <c:pt idx="3">
                  <c:v>马村区</c:v>
                </c:pt>
                <c:pt idx="4">
                  <c:v>示范区</c:v>
                </c:pt>
                <c:pt idx="5">
                  <c:v>沁阳市</c:v>
                </c:pt>
                <c:pt idx="6">
                  <c:v>孟州市</c:v>
                </c:pt>
                <c:pt idx="7">
                  <c:v>温县</c:v>
                </c:pt>
                <c:pt idx="8">
                  <c:v>博爱县</c:v>
                </c:pt>
                <c:pt idx="9">
                  <c:v>武陟县</c:v>
                </c:pt>
                <c:pt idx="10">
                  <c:v>修武县</c:v>
                </c:pt>
              </c:strCache>
            </c:strRef>
          </c:cat>
          <c:val>
            <c:numRef>
              <c:f>汇总!$B$2:$L$2</c:f>
              <c:numCache>
                <c:formatCode>General</c:formatCode>
                <c:ptCount val="11"/>
                <c:pt idx="0">
                  <c:v>27</c:v>
                </c:pt>
                <c:pt idx="1">
                  <c:v>30</c:v>
                </c:pt>
                <c:pt idx="2">
                  <c:v>10</c:v>
                </c:pt>
                <c:pt idx="3">
                  <c:v>8</c:v>
                </c:pt>
                <c:pt idx="4">
                  <c:v>2</c:v>
                </c:pt>
                <c:pt idx="5">
                  <c:v>19</c:v>
                </c:pt>
                <c:pt idx="6">
                  <c:v>5</c:v>
                </c:pt>
                <c:pt idx="7">
                  <c:v>0</c:v>
                </c:pt>
                <c:pt idx="8">
                  <c:v>2</c:v>
                </c:pt>
                <c:pt idx="9">
                  <c:v>10</c:v>
                </c:pt>
                <c:pt idx="10">
                  <c:v>1</c:v>
                </c:pt>
              </c:numCache>
            </c:numRef>
          </c:val>
        </c:ser>
        <c:ser>
          <c:idx val="1"/>
          <c:order val="1"/>
          <c:tx>
            <c:strRef>
              <c:f>汇总!$A$3</c:f>
              <c:strCache>
                <c:ptCount val="1"/>
                <c:pt idx="0">
                  <c:v>规划建设</c:v>
                </c:pt>
              </c:strCache>
            </c:strRef>
          </c:tx>
          <c:spPr>
            <a:solidFill>
              <a:schemeClr val="accent2"/>
            </a:solidFill>
            <a:ln>
              <a:noFill/>
            </a:ln>
            <a:effectLst/>
          </c:spPr>
          <c:invertIfNegative val="false"/>
          <c:dLbls>
            <c:delete val="true"/>
          </c:dLbls>
          <c:cat>
            <c:strRef>
              <c:f>汇总!$B$1:$L$1</c:f>
              <c:strCache>
                <c:ptCount val="11"/>
                <c:pt idx="0">
                  <c:v>解放区</c:v>
                </c:pt>
                <c:pt idx="1">
                  <c:v>山阳区</c:v>
                </c:pt>
                <c:pt idx="2">
                  <c:v>中站区</c:v>
                </c:pt>
                <c:pt idx="3">
                  <c:v>马村区</c:v>
                </c:pt>
                <c:pt idx="4">
                  <c:v>示范区</c:v>
                </c:pt>
                <c:pt idx="5">
                  <c:v>沁阳市</c:v>
                </c:pt>
                <c:pt idx="6">
                  <c:v>孟州市</c:v>
                </c:pt>
                <c:pt idx="7">
                  <c:v>温县</c:v>
                </c:pt>
                <c:pt idx="8">
                  <c:v>博爱县</c:v>
                </c:pt>
                <c:pt idx="9">
                  <c:v>武陟县</c:v>
                </c:pt>
                <c:pt idx="10">
                  <c:v>修武县</c:v>
                </c:pt>
              </c:strCache>
            </c:strRef>
          </c:cat>
          <c:val>
            <c:numRef>
              <c:f>汇总!$B$3:$L$3</c:f>
              <c:numCache>
                <c:formatCode>General</c:formatCode>
                <c:ptCount val="11"/>
                <c:pt idx="0">
                  <c:v>8</c:v>
                </c:pt>
                <c:pt idx="1">
                  <c:v>4</c:v>
                </c:pt>
                <c:pt idx="2">
                  <c:v>3</c:v>
                </c:pt>
                <c:pt idx="3">
                  <c:v>3</c:v>
                </c:pt>
                <c:pt idx="4">
                  <c:v>1</c:v>
                </c:pt>
                <c:pt idx="5">
                  <c:v>4</c:v>
                </c:pt>
                <c:pt idx="6">
                  <c:v>6</c:v>
                </c:pt>
                <c:pt idx="7">
                  <c:v>5</c:v>
                </c:pt>
                <c:pt idx="8">
                  <c:v>8</c:v>
                </c:pt>
                <c:pt idx="9">
                  <c:v>4</c:v>
                </c:pt>
                <c:pt idx="10">
                  <c:v>5</c:v>
                </c:pt>
              </c:numCache>
            </c:numRef>
          </c:val>
        </c:ser>
        <c:dLbls>
          <c:showLegendKey val="false"/>
          <c:showVal val="false"/>
          <c:showCatName val="false"/>
          <c:showSerName val="false"/>
          <c:showPercent val="false"/>
          <c:showBubbleSize val="false"/>
        </c:dLbls>
        <c:gapWidth val="219"/>
        <c:overlap val="-27"/>
        <c:axId val="610475272"/>
        <c:axId val="610481176"/>
      </c:barChart>
      <c:catAx>
        <c:axId val="610475272"/>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10481176"/>
        <c:crosses val="autoZero"/>
        <c:auto val="true"/>
        <c:lblAlgn val="ctr"/>
        <c:lblOffset val="100"/>
        <c:noMultiLvlLbl val="false"/>
      </c:catAx>
      <c:valAx>
        <c:axId val="610481176"/>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10475272"/>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Sheet2!$A$2</c:f>
              <c:strCache>
                <c:ptCount val="1"/>
                <c:pt idx="0">
                  <c:v>县级</c:v>
                </c:pt>
              </c:strCache>
            </c:strRef>
          </c:tx>
          <c:spPr>
            <a:solidFill>
              <a:schemeClr val="accent1"/>
            </a:solidFill>
            <a:ln>
              <a:noFill/>
            </a:ln>
            <a:effectLst/>
          </c:spPr>
          <c:invertIfNegative val="false"/>
          <c:dLbls>
            <c:delete val="true"/>
          </c:dLbls>
          <c:cat>
            <c:strRef>
              <c:f>Sheet2!$B$1:$L$1</c:f>
              <c:strCache>
                <c:ptCount val="11"/>
                <c:pt idx="0">
                  <c:v>解放区</c:v>
                </c:pt>
                <c:pt idx="1">
                  <c:v>山阳区</c:v>
                </c:pt>
                <c:pt idx="2">
                  <c:v>中站区</c:v>
                </c:pt>
                <c:pt idx="3">
                  <c:v>马村区</c:v>
                </c:pt>
                <c:pt idx="4">
                  <c:v>示范区</c:v>
                </c:pt>
                <c:pt idx="5">
                  <c:v>沁阳市</c:v>
                </c:pt>
                <c:pt idx="6">
                  <c:v>孟州市</c:v>
                </c:pt>
                <c:pt idx="7">
                  <c:v>温县</c:v>
                </c:pt>
                <c:pt idx="8">
                  <c:v>博爱县</c:v>
                </c:pt>
                <c:pt idx="9">
                  <c:v>武陟县</c:v>
                </c:pt>
                <c:pt idx="10">
                  <c:v>修武县</c:v>
                </c:pt>
              </c:strCache>
            </c:strRef>
          </c:cat>
          <c:val>
            <c:numRef>
              <c:f>Sheet2!$B$2:$L$2</c:f>
              <c:numCache>
                <c:formatCode>General</c:formatCode>
                <c:ptCount val="11"/>
                <c:pt idx="0">
                  <c:v>1</c:v>
                </c:pt>
                <c:pt idx="1">
                  <c:v>1</c:v>
                </c:pt>
                <c:pt idx="2">
                  <c:v>1</c:v>
                </c:pt>
                <c:pt idx="3">
                  <c:v>1</c:v>
                </c:pt>
                <c:pt idx="4">
                  <c:v>1</c:v>
                </c:pt>
                <c:pt idx="5">
                  <c:v>1</c:v>
                </c:pt>
                <c:pt idx="6">
                  <c:v>1</c:v>
                </c:pt>
                <c:pt idx="7">
                  <c:v>1</c:v>
                </c:pt>
                <c:pt idx="8">
                  <c:v>1</c:v>
                </c:pt>
                <c:pt idx="9">
                  <c:v>1</c:v>
                </c:pt>
                <c:pt idx="10">
                  <c:v>1</c:v>
                </c:pt>
              </c:numCache>
            </c:numRef>
          </c:val>
        </c:ser>
        <c:ser>
          <c:idx val="1"/>
          <c:order val="1"/>
          <c:tx>
            <c:strRef>
              <c:f>Sheet2!$A$3</c:f>
              <c:strCache>
                <c:ptCount val="1"/>
                <c:pt idx="0">
                  <c:v>乡镇级</c:v>
                </c:pt>
              </c:strCache>
            </c:strRef>
          </c:tx>
          <c:spPr>
            <a:solidFill>
              <a:schemeClr val="accent2"/>
            </a:solidFill>
            <a:ln>
              <a:noFill/>
            </a:ln>
            <a:effectLst/>
          </c:spPr>
          <c:invertIfNegative val="false"/>
          <c:dLbls>
            <c:delete val="true"/>
          </c:dLbls>
          <c:cat>
            <c:strRef>
              <c:f>Sheet2!$B$1:$L$1</c:f>
              <c:strCache>
                <c:ptCount val="11"/>
                <c:pt idx="0">
                  <c:v>解放区</c:v>
                </c:pt>
                <c:pt idx="1">
                  <c:v>山阳区</c:v>
                </c:pt>
                <c:pt idx="2">
                  <c:v>中站区</c:v>
                </c:pt>
                <c:pt idx="3">
                  <c:v>马村区</c:v>
                </c:pt>
                <c:pt idx="4">
                  <c:v>示范区</c:v>
                </c:pt>
                <c:pt idx="5">
                  <c:v>沁阳市</c:v>
                </c:pt>
                <c:pt idx="6">
                  <c:v>孟州市</c:v>
                </c:pt>
                <c:pt idx="7">
                  <c:v>温县</c:v>
                </c:pt>
                <c:pt idx="8">
                  <c:v>博爱县</c:v>
                </c:pt>
                <c:pt idx="9">
                  <c:v>武陟县</c:v>
                </c:pt>
                <c:pt idx="10">
                  <c:v>修武县</c:v>
                </c:pt>
              </c:strCache>
            </c:strRef>
          </c:cat>
          <c:val>
            <c:numRef>
              <c:f>Sheet2!$B$3:$L$3</c:f>
              <c:numCache>
                <c:formatCode>General</c:formatCode>
                <c:ptCount val="11"/>
                <c:pt idx="0">
                  <c:v>0</c:v>
                </c:pt>
                <c:pt idx="1">
                  <c:v>0</c:v>
                </c:pt>
                <c:pt idx="2">
                  <c:v>0</c:v>
                </c:pt>
                <c:pt idx="3">
                  <c:v>0</c:v>
                </c:pt>
                <c:pt idx="4">
                  <c:v>0</c:v>
                </c:pt>
                <c:pt idx="5">
                  <c:v>9</c:v>
                </c:pt>
                <c:pt idx="6">
                  <c:v>7</c:v>
                </c:pt>
                <c:pt idx="7">
                  <c:v>7</c:v>
                </c:pt>
                <c:pt idx="8">
                  <c:v>7</c:v>
                </c:pt>
                <c:pt idx="9">
                  <c:v>11</c:v>
                </c:pt>
                <c:pt idx="10">
                  <c:v>8</c:v>
                </c:pt>
              </c:numCache>
            </c:numRef>
          </c:val>
        </c:ser>
        <c:dLbls>
          <c:showLegendKey val="false"/>
          <c:showVal val="false"/>
          <c:showCatName val="false"/>
          <c:showSerName val="false"/>
          <c:showPercent val="false"/>
          <c:showBubbleSize val="false"/>
        </c:dLbls>
        <c:gapWidth val="150"/>
        <c:overlap val="100"/>
        <c:axId val="613777800"/>
        <c:axId val="613777144"/>
      </c:barChart>
      <c:catAx>
        <c:axId val="613777800"/>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13777144"/>
        <c:crosses val="autoZero"/>
        <c:auto val="true"/>
        <c:lblAlgn val="ctr"/>
        <c:lblOffset val="100"/>
        <c:noMultiLvlLbl val="false"/>
      </c:catAx>
      <c:valAx>
        <c:axId val="613777144"/>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13777800"/>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spPr>
            <a:solidFill>
              <a:schemeClr val="accent1"/>
            </a:solidFill>
            <a:ln>
              <a:noFill/>
            </a:ln>
            <a:effectLst/>
          </c:spPr>
          <c:invertIfNegative val="false"/>
          <c:dLbls>
            <c:delete val="true"/>
          </c:dLbls>
          <c:cat>
            <c:strRef>
              <c:f>统计!$A$1:$A$10</c:f>
              <c:strCache>
                <c:ptCount val="10"/>
                <c:pt idx="0">
                  <c:v>山阳区</c:v>
                </c:pt>
                <c:pt idx="1">
                  <c:v>中站区</c:v>
                </c:pt>
                <c:pt idx="2">
                  <c:v>马村区</c:v>
                </c:pt>
                <c:pt idx="3">
                  <c:v>示范区</c:v>
                </c:pt>
                <c:pt idx="4">
                  <c:v>沁阳市</c:v>
                </c:pt>
                <c:pt idx="5">
                  <c:v>孟州市</c:v>
                </c:pt>
                <c:pt idx="6">
                  <c:v>温县</c:v>
                </c:pt>
                <c:pt idx="7">
                  <c:v>博爱县</c:v>
                </c:pt>
                <c:pt idx="8">
                  <c:v>武陟县</c:v>
                </c:pt>
                <c:pt idx="9">
                  <c:v>修武县</c:v>
                </c:pt>
              </c:strCache>
            </c:strRef>
          </c:cat>
          <c:val>
            <c:numRef>
              <c:f>统计!$B$1:$B$10</c:f>
              <c:numCache>
                <c:formatCode>General</c:formatCode>
                <c:ptCount val="10"/>
                <c:pt idx="0">
                  <c:v>15</c:v>
                </c:pt>
                <c:pt idx="1">
                  <c:v>13</c:v>
                </c:pt>
                <c:pt idx="2">
                  <c:v>45</c:v>
                </c:pt>
                <c:pt idx="3">
                  <c:v>53</c:v>
                </c:pt>
                <c:pt idx="4">
                  <c:v>123</c:v>
                </c:pt>
                <c:pt idx="5">
                  <c:v>131</c:v>
                </c:pt>
                <c:pt idx="6">
                  <c:v>175</c:v>
                </c:pt>
                <c:pt idx="7">
                  <c:v>121</c:v>
                </c:pt>
                <c:pt idx="8">
                  <c:v>243</c:v>
                </c:pt>
                <c:pt idx="9">
                  <c:v>95</c:v>
                </c:pt>
              </c:numCache>
            </c:numRef>
          </c:val>
        </c:ser>
        <c:dLbls>
          <c:showLegendKey val="false"/>
          <c:showVal val="false"/>
          <c:showCatName val="false"/>
          <c:showSerName val="false"/>
          <c:showPercent val="false"/>
          <c:showBubbleSize val="false"/>
        </c:dLbls>
        <c:gapWidth val="150"/>
        <c:overlap val="100"/>
        <c:axId val="547580416"/>
        <c:axId val="1"/>
      </c:barChart>
      <c:catAx>
        <c:axId val="547580416"/>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
        <c:crosses val="autoZero"/>
        <c:auto val="true"/>
        <c:lblAlgn val="ctr"/>
        <c:lblOffset val="100"/>
        <c:noMultiLvlLbl val="false"/>
      </c:catAx>
      <c:valAx>
        <c:axId val="1"/>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6350" cap="flat" cmpd="sng" algn="ctr">
            <a:no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547580416"/>
        <c:crosses val="autoZero"/>
        <c:crossBetween val="between"/>
      </c:valAx>
      <c:spPr>
        <a:noFill/>
        <a:ln w="25400">
          <a:noFill/>
        </a:ln>
      </c:spPr>
    </c:plotArea>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Sheet1!$A$2</c:f>
              <c:strCache>
                <c:ptCount val="1"/>
                <c:pt idx="0">
                  <c:v>县级敬老院</c:v>
                </c:pt>
              </c:strCache>
            </c:strRef>
          </c:tx>
          <c:spPr>
            <a:solidFill>
              <a:schemeClr val="accent1"/>
            </a:solidFill>
            <a:ln>
              <a:noFill/>
            </a:ln>
            <a:effectLst/>
            <a:sp3d/>
          </c:spPr>
          <c:invertIfNegative val="false"/>
          <c:dLbls>
            <c:delete val="true"/>
          </c:dLbls>
          <c:cat>
            <c:strRef>
              <c:f>Sheet1!$B$1:$I$1</c:f>
              <c:strCache>
                <c:ptCount val="8"/>
                <c:pt idx="0">
                  <c:v>马村区</c:v>
                </c:pt>
                <c:pt idx="1">
                  <c:v>示范区</c:v>
                </c:pt>
                <c:pt idx="2">
                  <c:v>沁阳市</c:v>
                </c:pt>
                <c:pt idx="3">
                  <c:v>孟州市</c:v>
                </c:pt>
                <c:pt idx="4">
                  <c:v>温县</c:v>
                </c:pt>
                <c:pt idx="5">
                  <c:v>博爱县</c:v>
                </c:pt>
                <c:pt idx="6">
                  <c:v>武陟县</c:v>
                </c:pt>
                <c:pt idx="7">
                  <c:v>修武县</c:v>
                </c:pt>
              </c:strCache>
            </c:strRef>
          </c:cat>
          <c:val>
            <c:numRef>
              <c:f>Sheet1!$B$2:$I$2</c:f>
              <c:numCache>
                <c:formatCode>General</c:formatCode>
                <c:ptCount val="8"/>
                <c:pt idx="0">
                  <c:v>1</c:v>
                </c:pt>
                <c:pt idx="1">
                  <c:v>0</c:v>
                </c:pt>
                <c:pt idx="2">
                  <c:v>1</c:v>
                </c:pt>
                <c:pt idx="3">
                  <c:v>2</c:v>
                </c:pt>
                <c:pt idx="4">
                  <c:v>1</c:v>
                </c:pt>
                <c:pt idx="5">
                  <c:v>1</c:v>
                </c:pt>
                <c:pt idx="6">
                  <c:v>0</c:v>
                </c:pt>
                <c:pt idx="7">
                  <c:v>1</c:v>
                </c:pt>
              </c:numCache>
            </c:numRef>
          </c:val>
        </c:ser>
        <c:ser>
          <c:idx val="1"/>
          <c:order val="1"/>
          <c:tx>
            <c:strRef>
              <c:f>Sheet1!$A$3</c:f>
              <c:strCache>
                <c:ptCount val="1"/>
                <c:pt idx="0">
                  <c:v>乡镇级敬老院</c:v>
                </c:pt>
              </c:strCache>
            </c:strRef>
          </c:tx>
          <c:spPr>
            <a:solidFill>
              <a:schemeClr val="accent2"/>
            </a:solidFill>
            <a:ln>
              <a:noFill/>
            </a:ln>
            <a:effectLst/>
            <a:sp3d/>
          </c:spPr>
          <c:invertIfNegative val="false"/>
          <c:dLbls>
            <c:delete val="true"/>
          </c:dLbls>
          <c:cat>
            <c:strRef>
              <c:f>Sheet1!$B$1:$I$1</c:f>
              <c:strCache>
                <c:ptCount val="8"/>
                <c:pt idx="0">
                  <c:v>马村区</c:v>
                </c:pt>
                <c:pt idx="1">
                  <c:v>示范区</c:v>
                </c:pt>
                <c:pt idx="2">
                  <c:v>沁阳市</c:v>
                </c:pt>
                <c:pt idx="3">
                  <c:v>孟州市</c:v>
                </c:pt>
                <c:pt idx="4">
                  <c:v>温县</c:v>
                </c:pt>
                <c:pt idx="5">
                  <c:v>博爱县</c:v>
                </c:pt>
                <c:pt idx="6">
                  <c:v>武陟县</c:v>
                </c:pt>
                <c:pt idx="7">
                  <c:v>修武县</c:v>
                </c:pt>
              </c:strCache>
            </c:strRef>
          </c:cat>
          <c:val>
            <c:numRef>
              <c:f>Sheet1!$B$3:$I$3</c:f>
              <c:numCache>
                <c:formatCode>General</c:formatCode>
                <c:ptCount val="8"/>
                <c:pt idx="0">
                  <c:v>0</c:v>
                </c:pt>
                <c:pt idx="1">
                  <c:v>4</c:v>
                </c:pt>
                <c:pt idx="2">
                  <c:v>7</c:v>
                </c:pt>
                <c:pt idx="3">
                  <c:v>5</c:v>
                </c:pt>
                <c:pt idx="4">
                  <c:v>6</c:v>
                </c:pt>
                <c:pt idx="5">
                  <c:v>6</c:v>
                </c:pt>
                <c:pt idx="6">
                  <c:v>11</c:v>
                </c:pt>
                <c:pt idx="7">
                  <c:v>0</c:v>
                </c:pt>
              </c:numCache>
            </c:numRef>
          </c:val>
        </c:ser>
        <c:dLbls>
          <c:showLegendKey val="false"/>
          <c:showVal val="false"/>
          <c:showCatName val="false"/>
          <c:showSerName val="false"/>
          <c:showPercent val="false"/>
          <c:showBubbleSize val="false"/>
        </c:dLbls>
        <c:gapWidth val="150"/>
        <c:overlap val="100"/>
        <c:axId val="690814256"/>
        <c:axId val="690817864"/>
      </c:barChart>
      <c:catAx>
        <c:axId val="690814256"/>
        <c:scaling>
          <c:orientation val="minMax"/>
        </c:scaling>
        <c:delete val="false"/>
        <c:axPos val="b"/>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90817864"/>
        <c:crosses val="autoZero"/>
        <c:auto val="true"/>
        <c:lblAlgn val="ctr"/>
        <c:lblOffset val="100"/>
        <c:noMultiLvlLbl val="false"/>
      </c:catAx>
      <c:valAx>
        <c:axId val="690817864"/>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90814256"/>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Sheet1!$M$2</c:f>
              <c:strCache>
                <c:ptCount val="1"/>
                <c:pt idx="0">
                  <c:v>养老机构</c:v>
                </c:pt>
              </c:strCache>
            </c:strRef>
          </c:tx>
          <c:spPr>
            <a:solidFill>
              <a:schemeClr val="accent1"/>
            </a:solidFill>
            <a:ln>
              <a:noFill/>
            </a:ln>
            <a:effectLst>
              <a:outerShdw blurRad="50800" dist="38100" dir="10800000" algn="r" rotWithShape="0">
                <a:prstClr val="black">
                  <a:alpha val="40000"/>
                </a:prstClr>
              </a:outerShdw>
            </a:effectLst>
            <a:sp3d/>
          </c:spPr>
          <c:invertIfNegative val="false"/>
          <c:dLbls>
            <c:delete val="true"/>
          </c:dLbls>
          <c:cat>
            <c:strRef>
              <c:f>Sheet1!$N$1:$Y$1</c:f>
              <c:strCache>
                <c:ptCount val="12"/>
                <c:pt idx="0">
                  <c:v>焦作市</c:v>
                </c:pt>
                <c:pt idx="1">
                  <c:v>解放区</c:v>
                </c:pt>
                <c:pt idx="2">
                  <c:v>山阳区</c:v>
                </c:pt>
                <c:pt idx="3">
                  <c:v>中站区</c:v>
                </c:pt>
                <c:pt idx="4">
                  <c:v>马村区</c:v>
                </c:pt>
                <c:pt idx="5">
                  <c:v>示范区</c:v>
                </c:pt>
                <c:pt idx="6">
                  <c:v>沁阳市</c:v>
                </c:pt>
                <c:pt idx="7">
                  <c:v>孟州市</c:v>
                </c:pt>
                <c:pt idx="8">
                  <c:v>温县</c:v>
                </c:pt>
                <c:pt idx="9">
                  <c:v>博爱县</c:v>
                </c:pt>
                <c:pt idx="10">
                  <c:v>武陟县</c:v>
                </c:pt>
                <c:pt idx="11">
                  <c:v>修武县</c:v>
                </c:pt>
              </c:strCache>
            </c:strRef>
          </c:cat>
          <c:val>
            <c:numRef>
              <c:f>Sheet1!$N$2:$Y$2</c:f>
              <c:numCache>
                <c:formatCode>General</c:formatCode>
                <c:ptCount val="12"/>
                <c:pt idx="0">
                  <c:v>1</c:v>
                </c:pt>
                <c:pt idx="1">
                  <c:v>12</c:v>
                </c:pt>
                <c:pt idx="2">
                  <c:v>12</c:v>
                </c:pt>
                <c:pt idx="3">
                  <c:v>4</c:v>
                </c:pt>
                <c:pt idx="4">
                  <c:v>2</c:v>
                </c:pt>
                <c:pt idx="5">
                  <c:v>3</c:v>
                </c:pt>
                <c:pt idx="6">
                  <c:v>19</c:v>
                </c:pt>
                <c:pt idx="7">
                  <c:v>7</c:v>
                </c:pt>
                <c:pt idx="8">
                  <c:v>1</c:v>
                </c:pt>
                <c:pt idx="9">
                  <c:v>4</c:v>
                </c:pt>
                <c:pt idx="10">
                  <c:v>4</c:v>
                </c:pt>
                <c:pt idx="11">
                  <c:v>1</c:v>
                </c:pt>
              </c:numCache>
            </c:numRef>
          </c:val>
        </c:ser>
        <c:dLbls>
          <c:showLegendKey val="false"/>
          <c:showVal val="false"/>
          <c:showCatName val="false"/>
          <c:showSerName val="false"/>
          <c:showPercent val="false"/>
          <c:showBubbleSize val="false"/>
        </c:dLbls>
        <c:gapWidth val="150"/>
        <c:overlap val="100"/>
        <c:axId val="526444552"/>
        <c:axId val="1"/>
      </c:barChart>
      <c:catAx>
        <c:axId val="526444552"/>
        <c:scaling>
          <c:orientation val="minMax"/>
        </c:scaling>
        <c:delete val="false"/>
        <c:axPos val="b"/>
        <c:numFmt formatCode="General" sourceLinked="true"/>
        <c:majorTickMark val="none"/>
        <c:minorTickMark val="none"/>
        <c:tickLblPos val="nextTo"/>
        <c:spPr>
          <a:noFill/>
          <a:ln w="6350" cap="flat" cmpd="sng" algn="ctr">
            <a:noFill/>
            <a:prstDash val="solid"/>
            <a:round/>
          </a:ln>
          <a:effectLst/>
        </c:spPr>
        <c:txPr>
          <a:bodyPr rot="-60000000" spcFirstLastPara="1" vertOverflow="ellipsis" vert="horz" wrap="square" anchor="ctr" anchorCtr="true"/>
          <a:lstStyle/>
          <a:p>
            <a:pPr>
              <a:defRPr lang="zh-CN" sz="700" b="0" i="0" u="none" strike="noStrike" kern="1200" baseline="0">
                <a:solidFill>
                  <a:schemeClr val="tx1">
                    <a:lumMod val="65000"/>
                    <a:lumOff val="35000"/>
                  </a:schemeClr>
                </a:solidFill>
                <a:latin typeface="+mn-lt"/>
                <a:ea typeface="+mn-ea"/>
                <a:cs typeface="+mn-cs"/>
              </a:defRPr>
            </a:pPr>
          </a:p>
        </c:txPr>
        <c:crossAx val="1"/>
        <c:crosses val="autoZero"/>
        <c:auto val="true"/>
        <c:lblAlgn val="ctr"/>
        <c:lblOffset val="100"/>
        <c:noMultiLvlLbl val="false"/>
      </c:catAx>
      <c:valAx>
        <c:axId val="1"/>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6350" cap="flat" cmpd="sng" algn="ctr">
            <a:no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526444552"/>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老年人口信息!$B$2</c:f>
              <c:strCache>
                <c:ptCount val="1"/>
                <c:pt idx="0">
                  <c:v>80岁以上</c:v>
                </c:pt>
              </c:strCache>
            </c:strRef>
          </c:tx>
          <c:spPr>
            <a:solidFill>
              <a:srgbClr val="4472C4"/>
            </a:solidFill>
            <a:ln w="25400">
              <a:noFill/>
            </a:ln>
          </c:spPr>
          <c:invertIfNegative val="false"/>
          <c:dLbls>
            <c:delete val="true"/>
          </c:dLbls>
          <c:cat>
            <c:strRef>
              <c:f>老年人口信息!$A$3:$A$13</c:f>
              <c:strCache>
                <c:ptCount val="11"/>
                <c:pt idx="0">
                  <c:v>解放区</c:v>
                </c:pt>
                <c:pt idx="1">
                  <c:v>山阳区</c:v>
                </c:pt>
                <c:pt idx="2">
                  <c:v>中站区</c:v>
                </c:pt>
                <c:pt idx="3">
                  <c:v>马村区</c:v>
                </c:pt>
                <c:pt idx="4">
                  <c:v>示范区</c:v>
                </c:pt>
                <c:pt idx="5">
                  <c:v>沁阳市</c:v>
                </c:pt>
                <c:pt idx="6">
                  <c:v>孟州市</c:v>
                </c:pt>
                <c:pt idx="7">
                  <c:v>温  县</c:v>
                </c:pt>
                <c:pt idx="8">
                  <c:v>博爱县</c:v>
                </c:pt>
                <c:pt idx="9">
                  <c:v>武陟县</c:v>
                </c:pt>
                <c:pt idx="10">
                  <c:v>修武县</c:v>
                </c:pt>
              </c:strCache>
            </c:strRef>
          </c:cat>
          <c:val>
            <c:numRef>
              <c:f>老年人口信息!$B$3:$B$13</c:f>
              <c:numCache>
                <c:formatCode>General</c:formatCode>
                <c:ptCount val="11"/>
                <c:pt idx="0">
                  <c:v>7915</c:v>
                </c:pt>
                <c:pt idx="1">
                  <c:v>5623</c:v>
                </c:pt>
                <c:pt idx="2">
                  <c:v>2752</c:v>
                </c:pt>
                <c:pt idx="3">
                  <c:v>2983</c:v>
                </c:pt>
                <c:pt idx="4">
                  <c:v>2743</c:v>
                </c:pt>
                <c:pt idx="5">
                  <c:v>7034</c:v>
                </c:pt>
                <c:pt idx="6">
                  <c:v>6870</c:v>
                </c:pt>
                <c:pt idx="7">
                  <c:v>7909</c:v>
                </c:pt>
                <c:pt idx="8">
                  <c:v>5913</c:v>
                </c:pt>
                <c:pt idx="9">
                  <c:v>11918</c:v>
                </c:pt>
                <c:pt idx="10">
                  <c:v>4650</c:v>
                </c:pt>
              </c:numCache>
            </c:numRef>
          </c:val>
        </c:ser>
        <c:ser>
          <c:idx val="1"/>
          <c:order val="1"/>
          <c:tx>
            <c:strRef>
              <c:f>老年人口信息!$C$2</c:f>
              <c:strCache>
                <c:ptCount val="1"/>
                <c:pt idx="0">
                  <c:v>90岁以上</c:v>
                </c:pt>
              </c:strCache>
            </c:strRef>
          </c:tx>
          <c:spPr>
            <a:solidFill>
              <a:srgbClr val="ED7D31"/>
            </a:solidFill>
            <a:ln w="25400">
              <a:noFill/>
            </a:ln>
          </c:spPr>
          <c:invertIfNegative val="false"/>
          <c:dLbls>
            <c:delete val="true"/>
          </c:dLbls>
          <c:cat>
            <c:strRef>
              <c:f>老年人口信息!$A$3:$A$13</c:f>
              <c:strCache>
                <c:ptCount val="11"/>
                <c:pt idx="0">
                  <c:v>解放区</c:v>
                </c:pt>
                <c:pt idx="1">
                  <c:v>山阳区</c:v>
                </c:pt>
                <c:pt idx="2">
                  <c:v>中站区</c:v>
                </c:pt>
                <c:pt idx="3">
                  <c:v>马村区</c:v>
                </c:pt>
                <c:pt idx="4">
                  <c:v>示范区</c:v>
                </c:pt>
                <c:pt idx="5">
                  <c:v>沁阳市</c:v>
                </c:pt>
                <c:pt idx="6">
                  <c:v>孟州市</c:v>
                </c:pt>
                <c:pt idx="7">
                  <c:v>温  县</c:v>
                </c:pt>
                <c:pt idx="8">
                  <c:v>博爱县</c:v>
                </c:pt>
                <c:pt idx="9">
                  <c:v>武陟县</c:v>
                </c:pt>
                <c:pt idx="10">
                  <c:v>修武县</c:v>
                </c:pt>
              </c:strCache>
            </c:strRef>
          </c:cat>
          <c:val>
            <c:numRef>
              <c:f>老年人口信息!$C$3:$C$13</c:f>
              <c:numCache>
                <c:formatCode>General</c:formatCode>
                <c:ptCount val="11"/>
                <c:pt idx="0">
                  <c:v>838</c:v>
                </c:pt>
                <c:pt idx="1">
                  <c:v>538</c:v>
                </c:pt>
                <c:pt idx="2">
                  <c:v>384</c:v>
                </c:pt>
                <c:pt idx="3">
                  <c:v>358</c:v>
                </c:pt>
                <c:pt idx="4">
                  <c:v>397</c:v>
                </c:pt>
                <c:pt idx="5">
                  <c:v>914</c:v>
                </c:pt>
                <c:pt idx="6">
                  <c:v>960</c:v>
                </c:pt>
                <c:pt idx="7">
                  <c:v>1327</c:v>
                </c:pt>
                <c:pt idx="8">
                  <c:v>778</c:v>
                </c:pt>
                <c:pt idx="9">
                  <c:v>1902</c:v>
                </c:pt>
                <c:pt idx="10">
                  <c:v>690</c:v>
                </c:pt>
              </c:numCache>
            </c:numRef>
          </c:val>
        </c:ser>
        <c:ser>
          <c:idx val="2"/>
          <c:order val="2"/>
          <c:tx>
            <c:strRef>
              <c:f>老年人口信息!$D$2</c:f>
              <c:strCache>
                <c:ptCount val="1"/>
                <c:pt idx="0">
                  <c:v>100岁以上</c:v>
                </c:pt>
              </c:strCache>
            </c:strRef>
          </c:tx>
          <c:spPr>
            <a:solidFill>
              <a:srgbClr val="A5A5A5"/>
            </a:solidFill>
            <a:ln w="12700">
              <a:solidFill>
                <a:srgbClr val="FF0000"/>
              </a:solidFill>
              <a:prstDash val="solid"/>
            </a:ln>
          </c:spPr>
          <c:invertIfNegative val="false"/>
          <c:dLbls>
            <c:delete val="true"/>
          </c:dLbls>
          <c:cat>
            <c:strRef>
              <c:f>老年人口信息!$A$3:$A$13</c:f>
              <c:strCache>
                <c:ptCount val="11"/>
                <c:pt idx="0">
                  <c:v>解放区</c:v>
                </c:pt>
                <c:pt idx="1">
                  <c:v>山阳区</c:v>
                </c:pt>
                <c:pt idx="2">
                  <c:v>中站区</c:v>
                </c:pt>
                <c:pt idx="3">
                  <c:v>马村区</c:v>
                </c:pt>
                <c:pt idx="4">
                  <c:v>示范区</c:v>
                </c:pt>
                <c:pt idx="5">
                  <c:v>沁阳市</c:v>
                </c:pt>
                <c:pt idx="6">
                  <c:v>孟州市</c:v>
                </c:pt>
                <c:pt idx="7">
                  <c:v>温  县</c:v>
                </c:pt>
                <c:pt idx="8">
                  <c:v>博爱县</c:v>
                </c:pt>
                <c:pt idx="9">
                  <c:v>武陟县</c:v>
                </c:pt>
                <c:pt idx="10">
                  <c:v>修武县</c:v>
                </c:pt>
              </c:strCache>
            </c:strRef>
          </c:cat>
          <c:val>
            <c:numRef>
              <c:f>老年人口信息!$D$3:$D$13</c:f>
              <c:numCache>
                <c:formatCode>General</c:formatCode>
                <c:ptCount val="11"/>
                <c:pt idx="0">
                  <c:v>12</c:v>
                </c:pt>
                <c:pt idx="1">
                  <c:v>9</c:v>
                </c:pt>
                <c:pt idx="2">
                  <c:v>2</c:v>
                </c:pt>
                <c:pt idx="3">
                  <c:v>4</c:v>
                </c:pt>
                <c:pt idx="4">
                  <c:v>6</c:v>
                </c:pt>
                <c:pt idx="5">
                  <c:v>14</c:v>
                </c:pt>
                <c:pt idx="6">
                  <c:v>20</c:v>
                </c:pt>
                <c:pt idx="7">
                  <c:v>32</c:v>
                </c:pt>
                <c:pt idx="8">
                  <c:v>11</c:v>
                </c:pt>
                <c:pt idx="9">
                  <c:v>37</c:v>
                </c:pt>
                <c:pt idx="10">
                  <c:v>12</c:v>
                </c:pt>
              </c:numCache>
            </c:numRef>
          </c:val>
        </c:ser>
        <c:dLbls>
          <c:showLegendKey val="false"/>
          <c:showVal val="false"/>
          <c:showCatName val="false"/>
          <c:showSerName val="false"/>
          <c:showPercent val="false"/>
          <c:showBubbleSize val="false"/>
        </c:dLbls>
        <c:gapWidth val="150"/>
        <c:axId val="554574896"/>
        <c:axId val="1"/>
      </c:barChart>
      <c:catAx>
        <c:axId val="554574896"/>
        <c:scaling>
          <c:orientation val="minMax"/>
        </c:scaling>
        <c:delete val="false"/>
        <c:axPos val="b"/>
        <c:numFmt formatCode="General" sourceLinked="true"/>
        <c:majorTickMark val="none"/>
        <c:minorTickMark val="none"/>
        <c:tickLblPos val="nextTo"/>
        <c:spPr>
          <a:ln w="6350" cap="flat" cmpd="sng" algn="ctr">
            <a:noFill/>
            <a:prstDash val="solid"/>
            <a:round/>
          </a:ln>
        </c:spPr>
        <c:txPr>
          <a:bodyPr rot="-60000000" spcFirstLastPara="1" vertOverflow="ellipsis" vert="horz" wrap="square" anchor="ctr" anchorCtr="true"/>
          <a:lstStyle/>
          <a:p>
            <a:pPr>
              <a:defRPr lang="zh-CN" sz="800" b="0" i="0" u="none" strike="noStrike" kern="1200" baseline="0">
                <a:solidFill>
                  <a:schemeClr val="tx1">
                    <a:lumMod val="65000"/>
                    <a:lumOff val="35000"/>
                  </a:schemeClr>
                </a:solidFill>
                <a:latin typeface="+mn-lt"/>
                <a:ea typeface="+mn-ea"/>
                <a:cs typeface="+mn-cs"/>
              </a:defRPr>
            </a:pPr>
          </a:p>
        </c:txPr>
        <c:crossAx val="1"/>
        <c:crosses val="autoZero"/>
        <c:auto val="true"/>
        <c:lblAlgn val="ctr"/>
        <c:lblOffset val="100"/>
        <c:noMultiLvlLbl val="false"/>
      </c:catAx>
      <c:valAx>
        <c:axId val="1"/>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ln w="6350" cap="flat" cmpd="sng" algn="ctr">
            <a:noFill/>
            <a:prstDash val="solid"/>
            <a:round/>
          </a:ln>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554574896"/>
        <c:crosses val="autoZero"/>
        <c:crossBetween val="between"/>
      </c:valAx>
      <c:spPr>
        <a:noFill/>
        <a:ln w="25400">
          <a:noFill/>
        </a:ln>
        <a:effectLst/>
      </c:spPr>
    </c:plotArea>
    <c:legend>
      <c:legendPos val="b"/>
      <c:layout/>
      <c:overlay val="false"/>
      <c:spPr>
        <a:noFill/>
        <a:ln w="25400">
          <a:noFill/>
        </a:ln>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统计!$A$13</c:f>
              <c:strCache>
                <c:ptCount val="1"/>
                <c:pt idx="0">
                  <c:v>已建在建</c:v>
                </c:pt>
              </c:strCache>
            </c:strRef>
          </c:tx>
          <c:spPr>
            <a:solidFill>
              <a:schemeClr val="accent1"/>
            </a:solidFill>
            <a:ln>
              <a:noFill/>
            </a:ln>
            <a:effectLst/>
          </c:spPr>
          <c:invertIfNegative val="false"/>
          <c:dLbls>
            <c:delete val="true"/>
          </c:dLbls>
          <c:cat>
            <c:strRef>
              <c:f>统计!$B$12:$L$12</c:f>
              <c:strCache>
                <c:ptCount val="11"/>
                <c:pt idx="0">
                  <c:v>解放区</c:v>
                </c:pt>
                <c:pt idx="1">
                  <c:v>山阳区</c:v>
                </c:pt>
                <c:pt idx="2">
                  <c:v>中站区</c:v>
                </c:pt>
                <c:pt idx="3">
                  <c:v>马村区</c:v>
                </c:pt>
                <c:pt idx="4">
                  <c:v>示范区</c:v>
                </c:pt>
                <c:pt idx="5">
                  <c:v>沁阳市</c:v>
                </c:pt>
                <c:pt idx="6">
                  <c:v>孟州市</c:v>
                </c:pt>
                <c:pt idx="7">
                  <c:v>温  县</c:v>
                </c:pt>
                <c:pt idx="8">
                  <c:v>博爱县</c:v>
                </c:pt>
                <c:pt idx="9">
                  <c:v>武陟县</c:v>
                </c:pt>
                <c:pt idx="10">
                  <c:v>修武县</c:v>
                </c:pt>
              </c:strCache>
            </c:strRef>
          </c:cat>
          <c:val>
            <c:numRef>
              <c:f>统计!$B$13:$L$13</c:f>
              <c:numCache>
                <c:formatCode>General</c:formatCode>
                <c:ptCount val="11"/>
                <c:pt idx="0">
                  <c:v>31</c:v>
                </c:pt>
                <c:pt idx="1">
                  <c:v>21</c:v>
                </c:pt>
                <c:pt idx="2">
                  <c:v>13</c:v>
                </c:pt>
                <c:pt idx="3">
                  <c:v>13</c:v>
                </c:pt>
                <c:pt idx="4">
                  <c:v>25</c:v>
                </c:pt>
                <c:pt idx="5">
                  <c:v>42</c:v>
                </c:pt>
                <c:pt idx="6">
                  <c:v>118</c:v>
                </c:pt>
                <c:pt idx="7">
                  <c:v>52</c:v>
                </c:pt>
                <c:pt idx="8">
                  <c:v>99</c:v>
                </c:pt>
                <c:pt idx="9">
                  <c:v>177</c:v>
                </c:pt>
                <c:pt idx="10">
                  <c:v>43</c:v>
                </c:pt>
              </c:numCache>
            </c:numRef>
          </c:val>
        </c:ser>
        <c:ser>
          <c:idx val="1"/>
          <c:order val="1"/>
          <c:tx>
            <c:strRef>
              <c:f>统计!$A$14</c:f>
              <c:strCache>
                <c:ptCount val="1"/>
                <c:pt idx="0">
                  <c:v>规划</c:v>
                </c:pt>
              </c:strCache>
            </c:strRef>
          </c:tx>
          <c:spPr>
            <a:solidFill>
              <a:schemeClr val="accent2"/>
            </a:solidFill>
            <a:ln>
              <a:noFill/>
            </a:ln>
            <a:effectLst/>
          </c:spPr>
          <c:invertIfNegative val="false"/>
          <c:dLbls>
            <c:delete val="true"/>
          </c:dLbls>
          <c:cat>
            <c:strRef>
              <c:f>统计!$B$12:$L$12</c:f>
              <c:strCache>
                <c:ptCount val="11"/>
                <c:pt idx="0">
                  <c:v>解放区</c:v>
                </c:pt>
                <c:pt idx="1">
                  <c:v>山阳区</c:v>
                </c:pt>
                <c:pt idx="2">
                  <c:v>中站区</c:v>
                </c:pt>
                <c:pt idx="3">
                  <c:v>马村区</c:v>
                </c:pt>
                <c:pt idx="4">
                  <c:v>示范区</c:v>
                </c:pt>
                <c:pt idx="5">
                  <c:v>沁阳市</c:v>
                </c:pt>
                <c:pt idx="6">
                  <c:v>孟州市</c:v>
                </c:pt>
                <c:pt idx="7">
                  <c:v>温  县</c:v>
                </c:pt>
                <c:pt idx="8">
                  <c:v>博爱县</c:v>
                </c:pt>
                <c:pt idx="9">
                  <c:v>武陟县</c:v>
                </c:pt>
                <c:pt idx="10">
                  <c:v>修武县</c:v>
                </c:pt>
              </c:strCache>
            </c:strRef>
          </c:cat>
          <c:val>
            <c:numRef>
              <c:f>统计!$B$14:$L$14</c:f>
              <c:numCache>
                <c:formatCode>General</c:formatCode>
                <c:ptCount val="11"/>
                <c:pt idx="0">
                  <c:v>3</c:v>
                </c:pt>
                <c:pt idx="1">
                  <c:v>3</c:v>
                </c:pt>
                <c:pt idx="2">
                  <c:v>3</c:v>
                </c:pt>
                <c:pt idx="3">
                  <c:v>9</c:v>
                </c:pt>
                <c:pt idx="4">
                  <c:v>5</c:v>
                </c:pt>
                <c:pt idx="5">
                  <c:v>200</c:v>
                </c:pt>
                <c:pt idx="6">
                  <c:v>0</c:v>
                </c:pt>
                <c:pt idx="7">
                  <c:v>91</c:v>
                </c:pt>
                <c:pt idx="8">
                  <c:v>1</c:v>
                </c:pt>
                <c:pt idx="9">
                  <c:v>13</c:v>
                </c:pt>
                <c:pt idx="10">
                  <c:v>40</c:v>
                </c:pt>
              </c:numCache>
            </c:numRef>
          </c:val>
        </c:ser>
        <c:dLbls>
          <c:showLegendKey val="false"/>
          <c:showVal val="false"/>
          <c:showCatName val="false"/>
          <c:showSerName val="false"/>
          <c:showPercent val="false"/>
          <c:showBubbleSize val="false"/>
        </c:dLbls>
        <c:gapWidth val="150"/>
        <c:overlap val="100"/>
        <c:axId val="669415824"/>
        <c:axId val="669416152"/>
      </c:barChart>
      <c:catAx>
        <c:axId val="669415824"/>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69416152"/>
        <c:crosses val="autoZero"/>
        <c:auto val="true"/>
        <c:lblAlgn val="ctr"/>
        <c:lblOffset val="100"/>
        <c:noMultiLvlLbl val="false"/>
      </c:catAx>
      <c:valAx>
        <c:axId val="669416152"/>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69415824"/>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Sheet1!$A$2</c:f>
              <c:strCache>
                <c:ptCount val="1"/>
                <c:pt idx="0">
                  <c:v>数量</c:v>
                </c:pt>
              </c:strCache>
            </c:strRef>
          </c:tx>
          <c:spPr>
            <a:solidFill>
              <a:srgbClr val="5B9BD5"/>
            </a:solidFill>
            <a:ln w="25400">
              <a:noFill/>
            </a:ln>
          </c:spPr>
          <c:invertIfNegative val="false"/>
          <c:dLbls>
            <c:delete val="true"/>
          </c:dLbls>
          <c:cat>
            <c:strRef>
              <c:f>Sheet1!$B$1:$L$1</c:f>
              <c:strCache>
                <c:ptCount val="11"/>
                <c:pt idx="0">
                  <c:v>解放区</c:v>
                </c:pt>
                <c:pt idx="1">
                  <c:v>山阳区</c:v>
                </c:pt>
                <c:pt idx="2">
                  <c:v>中站区</c:v>
                </c:pt>
                <c:pt idx="3">
                  <c:v>马村区</c:v>
                </c:pt>
                <c:pt idx="4">
                  <c:v>示范区</c:v>
                </c:pt>
                <c:pt idx="5">
                  <c:v>沁阳市</c:v>
                </c:pt>
                <c:pt idx="6">
                  <c:v>孟州市</c:v>
                </c:pt>
                <c:pt idx="7">
                  <c:v>温县</c:v>
                </c:pt>
                <c:pt idx="8">
                  <c:v>博爱县</c:v>
                </c:pt>
                <c:pt idx="9">
                  <c:v>武陟县</c:v>
                </c:pt>
                <c:pt idx="10">
                  <c:v>修武县</c:v>
                </c:pt>
              </c:strCache>
            </c:strRef>
          </c:cat>
          <c:val>
            <c:numRef>
              <c:f>Sheet1!$B$2:$L$2</c:f>
              <c:numCache>
                <c:formatCode>General</c:formatCode>
                <c:ptCount val="11"/>
                <c:pt idx="0">
                  <c:v>5</c:v>
                </c:pt>
                <c:pt idx="1">
                  <c:v>3</c:v>
                </c:pt>
                <c:pt idx="2">
                  <c:v>5</c:v>
                </c:pt>
                <c:pt idx="3">
                  <c:v>5</c:v>
                </c:pt>
                <c:pt idx="4">
                  <c:v>1</c:v>
                </c:pt>
                <c:pt idx="5">
                  <c:v>0</c:v>
                </c:pt>
                <c:pt idx="6">
                  <c:v>12</c:v>
                </c:pt>
                <c:pt idx="7">
                  <c:v>20</c:v>
                </c:pt>
                <c:pt idx="8">
                  <c:v>2</c:v>
                </c:pt>
                <c:pt idx="9">
                  <c:v>15</c:v>
                </c:pt>
                <c:pt idx="10">
                  <c:v>1</c:v>
                </c:pt>
              </c:numCache>
            </c:numRef>
          </c:val>
        </c:ser>
        <c:dLbls>
          <c:showLegendKey val="false"/>
          <c:showVal val="false"/>
          <c:showCatName val="false"/>
          <c:showSerName val="false"/>
          <c:showPercent val="false"/>
          <c:showBubbleSize val="false"/>
        </c:dLbls>
        <c:gapWidth val="150"/>
        <c:overlap val="100"/>
        <c:axId val="574886384"/>
        <c:axId val="1"/>
      </c:barChart>
      <c:catAx>
        <c:axId val="574886384"/>
        <c:scaling>
          <c:orientation val="minMax"/>
        </c:scaling>
        <c:delete val="false"/>
        <c:axPos val="b"/>
        <c:numFmt formatCode="General" sourceLinked="true"/>
        <c:majorTickMark val="none"/>
        <c:minorTickMark val="none"/>
        <c:tickLblPos val="nextTo"/>
        <c:spPr>
          <a:ln w="6350" cap="flat" cmpd="sng" algn="ctr">
            <a:noFill/>
            <a:prstDash val="solid"/>
            <a:round/>
          </a:ln>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
        <c:crosses val="autoZero"/>
        <c:auto val="true"/>
        <c:lblAlgn val="ctr"/>
        <c:lblOffset val="100"/>
        <c:noMultiLvlLbl val="false"/>
      </c:catAx>
      <c:valAx>
        <c:axId val="1"/>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ln w="6350" cap="flat" cmpd="sng" algn="ctr">
            <a:noFill/>
            <a:prstDash val="solid"/>
            <a:round/>
          </a:ln>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574886384"/>
        <c:crosses val="autoZero"/>
        <c:crossBetween val="between"/>
      </c:valAx>
      <c:spPr>
        <a:noFill/>
        <a:ln w="25400">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121540517767382"/>
          <c:y val="0.188255537263608"/>
          <c:w val="0.783979235067941"/>
          <c:h val="0.768591688188762"/>
        </c:manualLayout>
      </c:layout>
      <c:pieChart>
        <c:varyColors val="true"/>
        <c:ser>
          <c:idx val="0"/>
          <c:order val="0"/>
          <c:tx>
            <c:strRef>
              <c:f>Sheet1!$S$2</c:f>
              <c:strCache>
                <c:ptCount val="1"/>
                <c:pt idx="0">
                  <c:v>数量</c:v>
                </c:pt>
              </c:strCache>
            </c:strRef>
          </c:tx>
          <c:explosion val="0"/>
          <c:dPt>
            <c:idx val="0"/>
            <c:bubble3D val="false"/>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false"/>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false"/>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false"/>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false"/>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false"/>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false"/>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false"/>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04337899543379"/>
                  <c:y val="0.0643939393939393"/>
                </c:manualLayout>
              </c:layout>
              <c:tx>
                <c:rich>
                  <a:bodyPr rot="0" spcFirstLastPara="1" vertOverflow="ellipsis" vert="horz" wrap="square" lIns="38100" tIns="19050" rIns="38100" bIns="19050" anchor="ctr" anchorCtr="true">
                    <a:spAutoFit/>
                  </a:bodyPr>
                  <a:lstStyle/>
                  <a:p>
                    <a:fld id="{f54b6595-ddc5-4b19-96a5-d44cbfc98021}" type="CATEGORYNAME">
                      <a:t>[CATEGORY NAME]</a:t>
                    </a:fld>
                    <a:r>
                      <a:t>,</a:t>
                    </a:r>
                    <a:fld id="{25fc8c9b-ddad-4d0c-9f3a-cf4a460e709d}" type="VALUE">
                      <a:t>[VALUE]</a:t>
                    </a:fld>
                    <a:endParaRPr lang="zh-CN" altLang="en-US" sz="1050" b="0" i="0" u="none" strike="noStrike" baseline="0">
                      <a:latin typeface="Times New Roman" charset="0"/>
                      <a:ea typeface="Times New Roman" charset="0"/>
                      <a:cs typeface="+mn-ea"/>
                    </a:endParaRPr>
                  </a:p>
                </c:rich>
              </c:tx>
              <c:numFmt formatCode="General" sourceLinked="true"/>
              <c:spPr>
                <a:noFill/>
                <a:ln>
                  <a:noFill/>
                </a:ln>
                <a:effectLst/>
              </c:spPr>
              <c:txPr>
                <a:bodyPr rot="0" spcFirstLastPara="1" vertOverflow="ellipsis" vert="horz" wrap="square" lIns="38100" tIns="19050" rIns="38100" bIns="19050" anchor="ctr" anchorCtr="true">
                  <a:spAutoFit/>
                </a:bodyPr>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true"/>
              <c:showSerName val="false"/>
              <c:showPercent val="false"/>
              <c:showBubbleSize val="false"/>
              <c:extLst>
                <c:ext xmlns:c15="http://schemas.microsoft.com/office/drawing/2012/chart" uri="{CE6537A1-D6FC-4f65-9D91-7224C49458BB}">
                  <c15:layout/>
                </c:ext>
              </c:extLst>
            </c:dLbl>
            <c:dLbl>
              <c:idx val="1"/>
              <c:layout>
                <c:manualLayout>
                  <c:x val="-0.0273972602739726"/>
                  <c:y val="0.261363636363636"/>
                </c:manualLayout>
              </c:layout>
              <c:tx>
                <c:rich>
                  <a:bodyPr rot="0" spcFirstLastPara="1" vertOverflow="ellipsis" vert="horz" wrap="square" lIns="38100" tIns="19050" rIns="38100" bIns="19050" anchor="ctr" anchorCtr="true">
                    <a:spAutoFit/>
                  </a:bodyPr>
                  <a:lstStyle/>
                  <a:p>
                    <a:fld id="{1805d276-59ba-4ac0-b816-19e3814cf825}" type="CATEGORYNAME">
                      <a:t>[CATEGORY NAME]</a:t>
                    </a:fld>
                    <a:r>
                      <a:t>,</a:t>
                    </a:r>
                    <a:fld id="{f83dca37-ccc8-4530-a0ae-acf3bbf377ff}" type="VALUE">
                      <a:t>[VALUE]</a:t>
                    </a:fld>
                    <a:endParaRPr lang="zh-CN" altLang="en-US" sz="1050" b="0" i="0" u="none" strike="noStrike" baseline="0">
                      <a:latin typeface="Times New Roman" charset="0"/>
                      <a:ea typeface="Times New Roman" charset="0"/>
                      <a:cs typeface="+mn-ea"/>
                    </a:endParaRPr>
                  </a:p>
                </c:rich>
              </c:tx>
              <c:numFmt formatCode="General" sourceLinked="true"/>
              <c:spPr>
                <a:noFill/>
                <a:ln>
                  <a:noFill/>
                </a:ln>
                <a:effectLst/>
              </c:spPr>
              <c:txPr>
                <a:bodyPr rot="0" spcFirstLastPara="1" vertOverflow="ellipsis" vert="horz" wrap="square" lIns="38100" tIns="19050" rIns="38100" bIns="19050" anchor="ctr" anchorCtr="true">
                  <a:spAutoFit/>
                </a:bodyPr>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true"/>
              <c:showSerName val="false"/>
              <c:showPercent val="false"/>
              <c:showBubbleSize val="false"/>
              <c:extLst>
                <c:ext xmlns:c15="http://schemas.microsoft.com/office/drawing/2012/chart" uri="{CE6537A1-D6FC-4f65-9D91-7224C49458BB}">
                  <c15:layout/>
                </c:ext>
              </c:extLst>
            </c:dLbl>
            <c:dLbl>
              <c:idx val="2"/>
              <c:layout>
                <c:manualLayout>
                  <c:x val="-0.0936073059360731"/>
                  <c:y val="0.0189393939393939"/>
                </c:manualLayout>
              </c:layout>
              <c:tx>
                <c:rich>
                  <a:bodyPr rot="0" spcFirstLastPara="1" vertOverflow="ellipsis" vert="horz" wrap="square" lIns="38100" tIns="19050" rIns="38100" bIns="19050" anchor="ctr" anchorCtr="true">
                    <a:spAutoFit/>
                  </a:bodyPr>
                  <a:lstStyle/>
                  <a:p>
                    <a:fld id="{b2b546d6-bc1d-4505-87a5-2a574c6865f1}" type="CATEGORYNAME">
                      <a:t>[CATEGORY NAME]</a:t>
                    </a:fld>
                    <a:r>
                      <a:t>,</a:t>
                    </a:r>
                    <a:fld id="{d5ef548b-039c-4848-815d-503fada31835}" type="VALUE">
                      <a:t>[VALUE]</a:t>
                    </a:fld>
                    <a:endParaRPr lang="zh-CN" altLang="en-US" sz="1050" b="0" i="0" u="none" strike="noStrike" baseline="0">
                      <a:latin typeface="Times New Roman" charset="0"/>
                      <a:ea typeface="Times New Roman" charset="0"/>
                      <a:cs typeface="+mn-ea"/>
                    </a:endParaRPr>
                  </a:p>
                </c:rich>
              </c:tx>
              <c:numFmt formatCode="General" sourceLinked="true"/>
              <c:spPr>
                <a:noFill/>
                <a:ln>
                  <a:noFill/>
                </a:ln>
                <a:effectLst/>
              </c:spPr>
              <c:txPr>
                <a:bodyPr rot="0" spcFirstLastPara="1" vertOverflow="ellipsis" vert="horz" wrap="square" lIns="38100" tIns="19050" rIns="38100" bIns="19050" anchor="ctr" anchorCtr="true">
                  <a:spAutoFit/>
                </a:bodyPr>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true"/>
              <c:showSerName val="false"/>
              <c:showPercent val="false"/>
              <c:showBubbleSize val="false"/>
              <c:extLst>
                <c:ext xmlns:c15="http://schemas.microsoft.com/office/drawing/2012/chart" uri="{CE6537A1-D6FC-4f65-9D91-7224C49458BB}">
                  <c15:layout/>
                </c:ext>
              </c:extLst>
            </c:dLbl>
            <c:dLbl>
              <c:idx val="3"/>
              <c:layout>
                <c:manualLayout>
                  <c:x val="-0.0844748858447489"/>
                  <c:y val="-0.0454545454545455"/>
                </c:manualLayout>
              </c:layout>
              <c:tx>
                <c:rich>
                  <a:bodyPr rot="0" spcFirstLastPara="1" vertOverflow="ellipsis" vert="horz" wrap="square" lIns="38100" tIns="19050" rIns="38100" bIns="19050" anchor="ctr" anchorCtr="true">
                    <a:spAutoFit/>
                  </a:bodyPr>
                  <a:lstStyle/>
                  <a:p>
                    <a:fld id="{a51eb115-c747-40b9-908e-776c8a07ccf2}" type="CATEGORYNAME">
                      <a:t>[CATEGORY NAME]</a:t>
                    </a:fld>
                    <a:r>
                      <a:t>,</a:t>
                    </a:r>
                    <a:fld id="{875f2d27-a96a-4bdf-b3f8-24466c3993cc}" type="VALUE">
                      <a:t>[VALUE]</a:t>
                    </a:fld>
                    <a:endParaRPr lang="zh-CN" altLang="en-US" sz="1050" b="0" i="0" u="none" strike="noStrike" baseline="0">
                      <a:latin typeface="Times New Roman" charset="0"/>
                      <a:ea typeface="Times New Roman" charset="0"/>
                      <a:cs typeface="+mn-ea"/>
                    </a:endParaRPr>
                  </a:p>
                </c:rich>
              </c:tx>
              <c:numFmt formatCode="General" sourceLinked="true"/>
              <c:spPr>
                <a:noFill/>
                <a:ln>
                  <a:noFill/>
                </a:ln>
                <a:effectLst/>
              </c:spPr>
              <c:txPr>
                <a:bodyPr rot="0" spcFirstLastPara="1" vertOverflow="ellipsis" vert="horz" wrap="square" lIns="38100" tIns="19050" rIns="38100" bIns="19050" anchor="ctr" anchorCtr="true">
                  <a:spAutoFit/>
                </a:bodyPr>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true"/>
              <c:showSerName val="false"/>
              <c:showPercent val="false"/>
              <c:showBubbleSize val="false"/>
              <c:extLst>
                <c:ext xmlns:c15="http://schemas.microsoft.com/office/drawing/2012/chart" uri="{CE6537A1-D6FC-4f65-9D91-7224C49458BB}">
                  <c15:layout/>
                </c:ext>
              </c:extLst>
            </c:dLbl>
            <c:dLbl>
              <c:idx val="4"/>
              <c:layout>
                <c:manualLayout>
                  <c:x val="-0.0114155251141553"/>
                  <c:y val="0"/>
                </c:manualLayout>
              </c:layout>
              <c:tx>
                <c:rich>
                  <a:bodyPr rot="0" spcFirstLastPara="1" vertOverflow="ellipsis" vert="horz" wrap="square" lIns="38100" tIns="19050" rIns="38100" bIns="19050" anchor="ctr" anchorCtr="true">
                    <a:spAutoFit/>
                  </a:bodyPr>
                  <a:lstStyle/>
                  <a:p>
                    <a:fld id="{e7bd1d0b-61dc-4848-a9e6-5bf3a9a1061b}" type="CATEGORYNAME">
                      <a:t>[CATEGORY NAME]</a:t>
                    </a:fld>
                    <a:r>
                      <a:t>,</a:t>
                    </a:r>
                    <a:fld id="{932c627c-40e1-4c44-808c-4017bd3bb093}" type="VALUE">
                      <a:t>[VALUE]</a:t>
                    </a:fld>
                    <a:endParaRPr lang="zh-CN" altLang="en-US" sz="1050" b="0" i="0" u="none" strike="noStrike" baseline="0">
                      <a:latin typeface="Times New Roman" charset="0"/>
                      <a:ea typeface="Times New Roman" charset="0"/>
                      <a:cs typeface="+mn-ea"/>
                    </a:endParaRPr>
                  </a:p>
                </c:rich>
              </c:tx>
              <c:numFmt formatCode="General" sourceLinked="true"/>
              <c:spPr>
                <a:noFill/>
                <a:ln>
                  <a:noFill/>
                </a:ln>
                <a:effectLst/>
              </c:spPr>
              <c:txPr>
                <a:bodyPr rot="0" spcFirstLastPara="1" vertOverflow="ellipsis" vert="horz" wrap="square" lIns="38100" tIns="19050" rIns="38100" bIns="19050" anchor="ctr" anchorCtr="true">
                  <a:spAutoFit/>
                </a:bodyPr>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true"/>
              <c:showSerName val="false"/>
              <c:showPercent val="false"/>
              <c:showBubbleSize val="false"/>
              <c:extLst>
                <c:ext xmlns:c15="http://schemas.microsoft.com/office/drawing/2012/chart" uri="{CE6537A1-D6FC-4f65-9D91-7224C49458BB}">
                  <c15:layout/>
                </c:ext>
              </c:extLst>
            </c:dLbl>
            <c:dLbl>
              <c:idx val="5"/>
              <c:layout>
                <c:manualLayout>
                  <c:x val="-0.0662100456621005"/>
                  <c:y val="-0.0681818181818182"/>
                </c:manualLayout>
              </c:layout>
              <c:tx>
                <c:rich>
                  <a:bodyPr rot="0" spcFirstLastPara="1" vertOverflow="ellipsis" vert="horz" wrap="square" lIns="38100" tIns="19050" rIns="38100" bIns="19050" anchor="ctr" anchorCtr="true">
                    <a:spAutoFit/>
                  </a:bodyPr>
                  <a:lstStyle/>
                  <a:p>
                    <a:fld id="{9dc29403-ebbe-4775-9846-6543a2e33c85}" type="CATEGORYNAME">
                      <a:t>[CATEGORY NAME]</a:t>
                    </a:fld>
                    <a:r>
                      <a:t>,</a:t>
                    </a:r>
                    <a:fld id="{0982e60a-b21f-4d4e-b5a8-8c7c922c9e6f}" type="VALUE">
                      <a:t>[VALUE]</a:t>
                    </a:fld>
                    <a:endParaRPr lang="zh-CN" altLang="en-US" sz="1050" b="0" i="0" u="none" strike="noStrike" baseline="0">
                      <a:latin typeface="Times New Roman" charset="0"/>
                      <a:ea typeface="Times New Roman" charset="0"/>
                      <a:cs typeface="+mn-ea"/>
                    </a:endParaRPr>
                  </a:p>
                </c:rich>
              </c:tx>
              <c:numFmt formatCode="General" sourceLinked="true"/>
              <c:spPr>
                <a:noFill/>
                <a:ln>
                  <a:noFill/>
                </a:ln>
                <a:effectLst/>
              </c:spPr>
              <c:txPr>
                <a:bodyPr rot="0" spcFirstLastPara="1" vertOverflow="ellipsis" vert="horz" wrap="square" lIns="38100" tIns="19050" rIns="38100" bIns="19050" anchor="ctr" anchorCtr="true">
                  <a:spAutoFit/>
                </a:bodyPr>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true"/>
              <c:showSerName val="false"/>
              <c:showPercent val="false"/>
              <c:showBubbleSize val="false"/>
              <c:extLst>
                <c:ext xmlns:c15="http://schemas.microsoft.com/office/drawing/2012/chart" uri="{CE6537A1-D6FC-4f65-9D91-7224C49458BB}">
                  <c15:layout/>
                </c:ext>
              </c:extLst>
            </c:dLbl>
            <c:dLbl>
              <c:idx val="6"/>
              <c:layout>
                <c:manualLayout>
                  <c:x val="0.0410958904109589"/>
                  <c:y val="-0.0492424242424243"/>
                </c:manualLayout>
              </c:layout>
              <c:tx>
                <c:rich>
                  <a:bodyPr rot="0" spcFirstLastPara="1" vertOverflow="ellipsis" vert="horz" wrap="square" lIns="38100" tIns="19050" rIns="38100" bIns="19050" anchor="ctr" anchorCtr="true">
                    <a:spAutoFit/>
                  </a:bodyPr>
                  <a:lstStyle/>
                  <a:p>
                    <a:fld id="{05e0992c-9c2f-4c7b-96f0-608d3596b7db}" type="CATEGORYNAME">
                      <a:t>[CATEGORY NAME]</a:t>
                    </a:fld>
                    <a:r>
                      <a:t>,</a:t>
                    </a:r>
                    <a:fld id="{155617cd-2a07-49d4-ab04-b4fc14bd37f7}" type="VALUE">
                      <a:t>[VALUE]</a:t>
                    </a:fld>
                    <a:endParaRPr lang="zh-CN" altLang="en-US" sz="1050" b="0" i="0" u="none" strike="noStrike" baseline="0">
                      <a:latin typeface="Times New Roman" charset="0"/>
                      <a:ea typeface="Times New Roman" charset="0"/>
                      <a:cs typeface="+mn-ea"/>
                    </a:endParaRPr>
                  </a:p>
                </c:rich>
              </c:tx>
              <c:numFmt formatCode="General" sourceLinked="true"/>
              <c:spPr>
                <a:noFill/>
                <a:ln>
                  <a:noFill/>
                </a:ln>
                <a:effectLst/>
              </c:spPr>
              <c:txPr>
                <a:bodyPr rot="0" spcFirstLastPara="1" vertOverflow="ellipsis" vert="horz" wrap="square" lIns="38100" tIns="19050" rIns="38100" bIns="19050" anchor="ctr" anchorCtr="true">
                  <a:spAutoFit/>
                </a:bodyPr>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true"/>
              <c:showSerName val="false"/>
              <c:showPercent val="false"/>
              <c:showBubbleSize val="false"/>
              <c:extLst>
                <c:ext xmlns:c15="http://schemas.microsoft.com/office/drawing/2012/chart" uri="{CE6537A1-D6FC-4f65-9D91-7224C49458BB}">
                  <c15:layout/>
                </c:ext>
              </c:extLst>
            </c:dLbl>
            <c:dLbl>
              <c:idx val="7"/>
              <c:layout>
                <c:manualLayout>
                  <c:x val="0.0936073059360731"/>
                  <c:y val="-0.053030303030303"/>
                </c:manualLayout>
              </c:layout>
              <c:tx>
                <c:rich>
                  <a:bodyPr rot="0" spcFirstLastPara="1" vertOverflow="ellipsis" vert="horz" wrap="square" lIns="38100" tIns="19050" rIns="38100" bIns="19050" anchor="ctr" anchorCtr="true">
                    <a:spAutoFit/>
                  </a:bodyPr>
                  <a:lstStyle/>
                  <a:p>
                    <a:fld id="{7a148c87-d7ce-427d-9379-cd1256e80c7a}" type="CATEGORYNAME">
                      <a:t>[CATEGORY NAME]</a:t>
                    </a:fld>
                    <a:r>
                      <a:t>,</a:t>
                    </a:r>
                    <a:fld id="{092577dc-1cd5-469f-8098-07e44ea70382}" type="VALUE">
                      <a:t>[VALUE]</a:t>
                    </a:fld>
                    <a:endParaRPr lang="zh-CN" altLang="en-US" sz="1050" b="0" i="0" u="none" strike="noStrike" baseline="0">
                      <a:latin typeface="Times New Roman" charset="0"/>
                      <a:ea typeface="Times New Roman" charset="0"/>
                      <a:cs typeface="+mn-ea"/>
                    </a:endParaRPr>
                  </a:p>
                </c:rich>
              </c:tx>
              <c:numFmt formatCode="General" sourceLinked="true"/>
              <c:spPr>
                <a:noFill/>
                <a:ln>
                  <a:noFill/>
                </a:ln>
                <a:effectLst/>
              </c:spPr>
              <c:txPr>
                <a:bodyPr rot="0" spcFirstLastPara="1" vertOverflow="ellipsis" vert="horz" wrap="square" lIns="38100" tIns="19050" rIns="38100" bIns="19050" anchor="ctr" anchorCtr="true">
                  <a:spAutoFit/>
                </a:bodyPr>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tru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50" b="1" i="0" u="none" strike="noStrike" kern="1200" spc="0" baseline="0">
                    <a:solidFill>
                      <a:schemeClr val="accent1"/>
                    </a:solidFill>
                    <a:latin typeface="+mn-lt"/>
                    <a:ea typeface="+mn-ea"/>
                    <a:cs typeface="+mn-cs"/>
                  </a:defRPr>
                </a:pPr>
              </a:p>
            </c:txPr>
            <c:dLblPos val="outEnd"/>
            <c:showLegendKey val="false"/>
            <c:showVal val="true"/>
            <c:showCatName val="tru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Sheet1!$R$3:$R$10</c:f>
              <c:strCache>
                <c:ptCount val="8"/>
                <c:pt idx="0">
                  <c:v>普通专营</c:v>
                </c:pt>
                <c:pt idx="1">
                  <c:v>三星级专营</c:v>
                </c:pt>
                <c:pt idx="2">
                  <c:v>四星级专营</c:v>
                </c:pt>
                <c:pt idx="3">
                  <c:v>五星级专营</c:v>
                </c:pt>
                <c:pt idx="4">
                  <c:v>兼营</c:v>
                </c:pt>
                <c:pt idx="5">
                  <c:v>合作自助</c:v>
                </c:pt>
                <c:pt idx="6">
                  <c:v>双机店</c:v>
                </c:pt>
                <c:pt idx="7">
                  <c:v>其他</c:v>
                </c:pt>
              </c:strCache>
            </c:strRef>
          </c:cat>
          <c:val>
            <c:numRef>
              <c:f>Sheet1!$S$3:$S$10</c:f>
              <c:numCache>
                <c:formatCode>General</c:formatCode>
                <c:ptCount val="8"/>
                <c:pt idx="0">
                  <c:v>215</c:v>
                </c:pt>
                <c:pt idx="1">
                  <c:v>16</c:v>
                </c:pt>
                <c:pt idx="2">
                  <c:v>14</c:v>
                </c:pt>
                <c:pt idx="3">
                  <c:v>8</c:v>
                </c:pt>
                <c:pt idx="4">
                  <c:v>6</c:v>
                </c:pt>
                <c:pt idx="5">
                  <c:v>7</c:v>
                </c:pt>
                <c:pt idx="6">
                  <c:v>1</c:v>
                </c:pt>
                <c:pt idx="7">
                  <c:v>15</c:v>
                </c:pt>
              </c:numCache>
            </c:numRef>
          </c:val>
        </c:ser>
        <c:dLbls>
          <c:showLegendKey val="false"/>
          <c:showVal val="false"/>
          <c:showCatName val="false"/>
          <c:showSerName val="false"/>
          <c:showPercent val="true"/>
          <c:showBubbleSize val="false"/>
          <c:showLeaderLines val="true"/>
        </c:dLbls>
        <c:firstSliceAng val="0"/>
      </c:pieChart>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Sheet1!$B$33</c:f>
              <c:strCache>
                <c:ptCount val="1"/>
                <c:pt idx="0">
                  <c:v>数量</c:v>
                </c:pt>
              </c:strCache>
            </c:strRef>
          </c:tx>
          <c:spPr>
            <a:solidFill>
              <a:schemeClr val="accent1"/>
            </a:solidFill>
            <a:ln>
              <a:noFill/>
            </a:ln>
            <a:effectLst>
              <a:outerShdw blurRad="50800" dist="38100" dir="10800000" algn="r" rotWithShape="0">
                <a:prstClr val="black">
                  <a:alpha val="40000"/>
                </a:prstClr>
              </a:outerShdw>
            </a:effectLst>
            <a:sp3d/>
          </c:spPr>
          <c:invertIfNegative val="false"/>
          <c:dLbls>
            <c:delete val="true"/>
          </c:dLbls>
          <c:cat>
            <c:strRef>
              <c:f>Sheet1!$A$34:$A$44</c:f>
              <c:strCache>
                <c:ptCount val="11"/>
                <c:pt idx="0">
                  <c:v>解放区</c:v>
                </c:pt>
                <c:pt idx="1">
                  <c:v>山阳区</c:v>
                </c:pt>
                <c:pt idx="2">
                  <c:v>中站区</c:v>
                </c:pt>
                <c:pt idx="3">
                  <c:v>马村区</c:v>
                </c:pt>
                <c:pt idx="4">
                  <c:v>示范区</c:v>
                </c:pt>
                <c:pt idx="5">
                  <c:v>沁阳市</c:v>
                </c:pt>
                <c:pt idx="6">
                  <c:v>孟州市</c:v>
                </c:pt>
                <c:pt idx="7">
                  <c:v>温县</c:v>
                </c:pt>
                <c:pt idx="8">
                  <c:v>博爱县</c:v>
                </c:pt>
                <c:pt idx="9">
                  <c:v>武陟县</c:v>
                </c:pt>
                <c:pt idx="10">
                  <c:v>修武县</c:v>
                </c:pt>
              </c:strCache>
            </c:strRef>
          </c:cat>
          <c:val>
            <c:numRef>
              <c:f>Sheet1!$B$34:$B$44</c:f>
              <c:numCache>
                <c:formatCode>General</c:formatCode>
                <c:ptCount val="11"/>
                <c:pt idx="0">
                  <c:v>38</c:v>
                </c:pt>
                <c:pt idx="1">
                  <c:v>33</c:v>
                </c:pt>
                <c:pt idx="2">
                  <c:v>7</c:v>
                </c:pt>
                <c:pt idx="3">
                  <c:v>13</c:v>
                </c:pt>
                <c:pt idx="4">
                  <c:v>12</c:v>
                </c:pt>
                <c:pt idx="5">
                  <c:v>36</c:v>
                </c:pt>
                <c:pt idx="6">
                  <c:v>25</c:v>
                </c:pt>
                <c:pt idx="7">
                  <c:v>32</c:v>
                </c:pt>
                <c:pt idx="8">
                  <c:v>28</c:v>
                </c:pt>
                <c:pt idx="9">
                  <c:v>41</c:v>
                </c:pt>
                <c:pt idx="10">
                  <c:v>17</c:v>
                </c:pt>
              </c:numCache>
            </c:numRef>
          </c:val>
        </c:ser>
        <c:dLbls>
          <c:showLegendKey val="false"/>
          <c:showVal val="false"/>
          <c:showCatName val="false"/>
          <c:showSerName val="false"/>
          <c:showPercent val="false"/>
          <c:showBubbleSize val="false"/>
        </c:dLbls>
        <c:gapWidth val="150"/>
        <c:overlap val="100"/>
        <c:axId val="568751952"/>
        <c:axId val="568752280"/>
      </c:barChart>
      <c:catAx>
        <c:axId val="568751952"/>
        <c:scaling>
          <c:orientation val="minMax"/>
        </c:scaling>
        <c:delete val="false"/>
        <c:axPos val="b"/>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568752280"/>
        <c:crosses val="autoZero"/>
        <c:auto val="true"/>
        <c:lblAlgn val="ctr"/>
        <c:lblOffset val="100"/>
        <c:noMultiLvlLbl val="false"/>
      </c:catAx>
      <c:valAx>
        <c:axId val="568752280"/>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568751952"/>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5054</Words>
  <Characters>28808</Characters>
  <Lines>240</Lines>
  <Paragraphs>67</Paragraphs>
  <TotalTime>859</TotalTime>
  <ScaleCrop>false</ScaleCrop>
  <LinksUpToDate>false</LinksUpToDate>
  <CharactersWithSpaces>33795</CharactersWithSpaces>
  <Application>WPS Office_11.1.0.10161_F1E327BC-269C-435d-A152-05C5408002CA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2020-07-22T14:25:00Z</dcterms:created>
  <dc:creator>刘 超</dc:creator>
  <cp:lastModifiedBy>bgs</cp:lastModifiedBy>
  <cp:lastPrinted>2021-08-12T08:09:00Z</cp:lastPrinted>
  <dcterms:modified xsi:type="dcterms:W3CDTF">2023-01-10T16:59:12Z</dcterms:modified>
  <cp:revision>839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2052-11.1.0.10161</vt:lpwstr>
  </property>
</Properties>
</file>