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焦作市福利院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21</w:t>
      </w:r>
      <w:r>
        <w:rPr>
          <w:rFonts w:hint="eastAsia" w:ascii="黑体" w:hAnsi="黑体" w:eastAsia="黑体" w:cs="黑体"/>
          <w:sz w:val="52"/>
          <w:szCs w:val="52"/>
        </w:rPr>
        <w:t>年度部门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二0二一年三月</w:t>
      </w: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焦作市福利院2021年部门预算情况说明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十二、收支总表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十四、三公经费支出预算表</w:t>
      </w: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6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机构设置及人员情况                   </w:t>
      </w:r>
    </w:p>
    <w:p>
      <w:pPr>
        <w:tabs>
          <w:tab w:val="left" w:pos="600"/>
        </w:tabs>
        <w:ind w:left="601" w:leftChars="298" w:firstLine="1005" w:firstLineChars="3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焦作市福利院为财政全供的事业单位，正科级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内设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个职能科室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，即：办公室、财务科、医护科、行政科、后勤保障科。单位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现有在职在编职工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，其中：领导职数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，行政管理人员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外聘临时工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（含占地工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firstLine="62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（二）部门职责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ind w:left="614" w:leftChars="304" w:firstLine="266" w:firstLineChars="8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焦作市福利院主要职责是收养孤寡老人，提供社会养老服务。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3569" w:firstLine="624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部门预算单位构成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24" w:right="0" w:hanging="624" w:hanging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焦作市福利院隶属焦作市民政局</w:t>
      </w:r>
      <w:r>
        <w:rPr>
          <w:rFonts w:hint="eastAsia" w:ascii="仿宋_GB2312" w:hAnsi="Times New Roman" w:eastAsia="仿宋_GB2312" w:cs="仿宋_GB2312"/>
          <w:spacing w:val="-1"/>
          <w:kern w:val="2"/>
          <w:sz w:val="32"/>
          <w:szCs w:val="32"/>
          <w:lang w:val="en-US" w:eastAsia="zh-CN" w:bidi="ar"/>
        </w:rPr>
        <w:t>，独立核算。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部门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算仅包括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9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370.68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84.22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福利院迁建项目建设资金增加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300万元，人员经费增加40.33万元，困难群众补助资金增加22.3万元，非税收入增加7.5万元。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500.72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政府性基金预算收入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300.10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国有资本经营预算收入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万元；非税收入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10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万元；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328.52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40.52%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482.30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59.48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政府性基金收支预算</w:t>
      </w:r>
      <w:r>
        <w:rPr>
          <w:rFonts w:hint="default" w:ascii="Arial" w:hAnsi="Arial" w:eastAsia="仿宋_GB2312" w:cs="Arial"/>
          <w:b w:val="0"/>
          <w:bCs w:val="0"/>
          <w:i w:val="0"/>
          <w:iCs w:val="0"/>
          <w:sz w:val="32"/>
          <w:szCs w:val="32"/>
          <w:lang w:val="en-US" w:eastAsia="zh-CN"/>
        </w:rPr>
        <w:t>300.10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年相比，一般公共预算收支预算增加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70.58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主要原因：因人员增加及工资上涨至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人员经费增加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40.33万元，因院民人数增加至困难群众救助补助资金增加29.7万元；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政府性基金增加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300.10万元（2020年该项为0万元），主要原因：本年度福利院迁建项目建设资金增加300万元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328.52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kern w:val="0"/>
          <w:sz w:val="32"/>
          <w:szCs w:val="32"/>
          <w:lang w:val="en-US" w:eastAsia="zh-CN"/>
        </w:rPr>
        <w:t>322.90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，主要包括：办公费、印刷费、咨询费、手续费、水费、电费、邮电费、取暖费、差旅费、维修（护）费、租赁费、会议费、培训费、劳务费、福利费、公务用车运行维护费、其他商品和服务支出、其他资本性支出和其他支出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情况说明</w:t>
      </w:r>
    </w:p>
    <w:p>
      <w:pPr>
        <w:spacing w:line="560" w:lineRule="exact"/>
        <w:ind w:firstLine="624" w:firstLineChars="200"/>
        <w:rPr>
          <w:rFonts w:hint="default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300.10万元，其中用于支付福利院迁建项目工程款300万，0.1万元用于支付孤儿大学生上学费用。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算情况说明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没有使用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预算拨款安排的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支出。</w:t>
      </w:r>
    </w:p>
    <w:p>
      <w:pPr>
        <w:numPr>
          <w:ilvl w:val="0"/>
          <w:numId w:val="0"/>
        </w:num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、“三公”经费支出预算情况说明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焦作市福利院20201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020年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相同。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具体支出情况如下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万元。我单位2021年没有因公出国事项。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eastAsia="zh-CN"/>
        </w:rPr>
        <w:t>购买汽油及车辆维修保养等，与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2020年相同。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2020相同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，我单位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2021年没有安排公务接待事项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万元，主要保障机关机构正常运转及正常履职需要的办公费、水电费、物业费、维修费、差旅费等支出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2020年增加0.55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万元，较上年增长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10.85%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，主要原因：在职人员增加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2人，在职人员定额公用经费增加0.55万元。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支出。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4" w:firstLineChars="200"/>
        <w:outlineLvl w:val="0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关于预算绩效管理工作开展情况说明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2020年，我部门对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个项目纳入预算绩效全过程管理，涉及资金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2021年，我部门纳入预算绩效管理的支出总额为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322.90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482.30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个，其中，预算支出100万元及100万元以上项目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437.10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万元。 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焦作市福利院固定资产总额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336.87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44.38万元，通用设备97.00万元，专用和设备102.93万元，车辆44.12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一般公务用车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。没有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单价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50万元以上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通用设备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单位价值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100万元以上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专用设备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eastAsia="zh-CN"/>
        </w:rPr>
        <w:t>在建工程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val="en-US" w:eastAsia="zh-CN"/>
        </w:rPr>
        <w:t>11575.41万元。</w:t>
      </w:r>
    </w:p>
    <w:p>
      <w:pPr>
        <w:widowControl/>
        <w:spacing w:line="580" w:lineRule="exact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24" w:firstLineChars="200"/>
        <w:rPr>
          <w:rFonts w:hint="default" w:ascii="仿宋_GB2312" w:hAnsi="宋体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项是：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省级返还福利彩票公益金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（焦作市福利院迁建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提前下达2021年中央集中彩票公益金支持社会福利事业专项资金预算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（支付孤儿大学生上学费用）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  <w:bookmarkStart w:id="0" w:name="_GoBack"/>
      <w:bookmarkEnd w:id="0"/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20" w:firstLineChars="10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八、院民经费：是指保障院民日常生活的费用支出。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2021年3月17日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304" w:right="1474" w:bottom="1304" w:left="1587" w:header="851" w:footer="992" w:gutter="0"/>
      <w:cols w:space="0" w:num="1"/>
      <w:rtlGutter w:val="0"/>
      <w:docGrid w:type="linesAndChars" w:linePitch="31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B337"/>
    <w:multiLevelType w:val="singleLevel"/>
    <w:tmpl w:val="3914B3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131BC"/>
    <w:rsid w:val="00F97591"/>
    <w:rsid w:val="012A16E3"/>
    <w:rsid w:val="017449C7"/>
    <w:rsid w:val="01D95E64"/>
    <w:rsid w:val="038B2FC8"/>
    <w:rsid w:val="03F55699"/>
    <w:rsid w:val="0425245B"/>
    <w:rsid w:val="07033FE3"/>
    <w:rsid w:val="07B27637"/>
    <w:rsid w:val="08561C0A"/>
    <w:rsid w:val="091A27A5"/>
    <w:rsid w:val="0A9C745F"/>
    <w:rsid w:val="0B2E71ED"/>
    <w:rsid w:val="0BFC12C2"/>
    <w:rsid w:val="0C7C5FF0"/>
    <w:rsid w:val="0FE00F0A"/>
    <w:rsid w:val="102E67B7"/>
    <w:rsid w:val="11AB0BDB"/>
    <w:rsid w:val="120E2AC2"/>
    <w:rsid w:val="1272042A"/>
    <w:rsid w:val="13336BBD"/>
    <w:rsid w:val="13B65AAE"/>
    <w:rsid w:val="14272A10"/>
    <w:rsid w:val="148438F6"/>
    <w:rsid w:val="14DA2602"/>
    <w:rsid w:val="14E074A9"/>
    <w:rsid w:val="150945E1"/>
    <w:rsid w:val="159C6936"/>
    <w:rsid w:val="15DA34B7"/>
    <w:rsid w:val="15DB6EF3"/>
    <w:rsid w:val="160078F9"/>
    <w:rsid w:val="16574C8C"/>
    <w:rsid w:val="16B8404C"/>
    <w:rsid w:val="170A3FC4"/>
    <w:rsid w:val="17591265"/>
    <w:rsid w:val="17B23873"/>
    <w:rsid w:val="17EB648E"/>
    <w:rsid w:val="19277168"/>
    <w:rsid w:val="19CC2D41"/>
    <w:rsid w:val="19F163D7"/>
    <w:rsid w:val="1C07674E"/>
    <w:rsid w:val="1E6A04B3"/>
    <w:rsid w:val="1E820D05"/>
    <w:rsid w:val="1E9F6DA3"/>
    <w:rsid w:val="203E57CF"/>
    <w:rsid w:val="20770ABE"/>
    <w:rsid w:val="20DD26A9"/>
    <w:rsid w:val="22DA4258"/>
    <w:rsid w:val="24923744"/>
    <w:rsid w:val="253445CC"/>
    <w:rsid w:val="262C0377"/>
    <w:rsid w:val="26E64B41"/>
    <w:rsid w:val="27327B9B"/>
    <w:rsid w:val="27947F20"/>
    <w:rsid w:val="284B0E80"/>
    <w:rsid w:val="284E1F61"/>
    <w:rsid w:val="296D3CF7"/>
    <w:rsid w:val="2AF7647C"/>
    <w:rsid w:val="2C3144FE"/>
    <w:rsid w:val="2D4A7DFF"/>
    <w:rsid w:val="2D97621C"/>
    <w:rsid w:val="2E470C79"/>
    <w:rsid w:val="2E541024"/>
    <w:rsid w:val="30FA6C20"/>
    <w:rsid w:val="32B8429D"/>
    <w:rsid w:val="332A3BAA"/>
    <w:rsid w:val="335F0C1C"/>
    <w:rsid w:val="36263867"/>
    <w:rsid w:val="373D0415"/>
    <w:rsid w:val="3852669A"/>
    <w:rsid w:val="39841043"/>
    <w:rsid w:val="3ADD77FC"/>
    <w:rsid w:val="3B883407"/>
    <w:rsid w:val="3D121DF6"/>
    <w:rsid w:val="3D250486"/>
    <w:rsid w:val="3DD715C6"/>
    <w:rsid w:val="3F2F5F42"/>
    <w:rsid w:val="3F7C19DA"/>
    <w:rsid w:val="40442497"/>
    <w:rsid w:val="408647B4"/>
    <w:rsid w:val="409168FA"/>
    <w:rsid w:val="437F2A6B"/>
    <w:rsid w:val="43D309B0"/>
    <w:rsid w:val="44CC4A26"/>
    <w:rsid w:val="458F2486"/>
    <w:rsid w:val="45D66501"/>
    <w:rsid w:val="47E047FA"/>
    <w:rsid w:val="492B25C8"/>
    <w:rsid w:val="4A81753C"/>
    <w:rsid w:val="4AAE6DB1"/>
    <w:rsid w:val="4B754C1A"/>
    <w:rsid w:val="4BC00A7C"/>
    <w:rsid w:val="4D662DC1"/>
    <w:rsid w:val="4DA56122"/>
    <w:rsid w:val="4DFB2A78"/>
    <w:rsid w:val="4E9C68BE"/>
    <w:rsid w:val="4F216CCA"/>
    <w:rsid w:val="50C62127"/>
    <w:rsid w:val="51B31591"/>
    <w:rsid w:val="52C80519"/>
    <w:rsid w:val="52E0623F"/>
    <w:rsid w:val="53563709"/>
    <w:rsid w:val="53840927"/>
    <w:rsid w:val="53B8249B"/>
    <w:rsid w:val="542450F7"/>
    <w:rsid w:val="54A04E57"/>
    <w:rsid w:val="56EF44D2"/>
    <w:rsid w:val="57EF5183"/>
    <w:rsid w:val="5943560D"/>
    <w:rsid w:val="5966555F"/>
    <w:rsid w:val="59773792"/>
    <w:rsid w:val="5B153176"/>
    <w:rsid w:val="5C682E60"/>
    <w:rsid w:val="5D9C13D1"/>
    <w:rsid w:val="5EC56533"/>
    <w:rsid w:val="5FB86371"/>
    <w:rsid w:val="5FC5627C"/>
    <w:rsid w:val="61CB69FB"/>
    <w:rsid w:val="635431E6"/>
    <w:rsid w:val="63CB6CC6"/>
    <w:rsid w:val="64A875E7"/>
    <w:rsid w:val="64FD5D30"/>
    <w:rsid w:val="6515440C"/>
    <w:rsid w:val="6541030B"/>
    <w:rsid w:val="65E513AA"/>
    <w:rsid w:val="66A165D0"/>
    <w:rsid w:val="67545B2D"/>
    <w:rsid w:val="67C92C17"/>
    <w:rsid w:val="67E757C9"/>
    <w:rsid w:val="682E09AE"/>
    <w:rsid w:val="68753412"/>
    <w:rsid w:val="6CD05E05"/>
    <w:rsid w:val="6E35646A"/>
    <w:rsid w:val="6EA86553"/>
    <w:rsid w:val="711E0931"/>
    <w:rsid w:val="73263A7E"/>
    <w:rsid w:val="73E97849"/>
    <w:rsid w:val="73F1231D"/>
    <w:rsid w:val="75643990"/>
    <w:rsid w:val="762B21B8"/>
    <w:rsid w:val="7677091A"/>
    <w:rsid w:val="76F021C0"/>
    <w:rsid w:val="78093E65"/>
    <w:rsid w:val="78DF3E89"/>
    <w:rsid w:val="79111CB1"/>
    <w:rsid w:val="79E845B8"/>
    <w:rsid w:val="7A7F4192"/>
    <w:rsid w:val="7B7C601A"/>
    <w:rsid w:val="7BEB39B7"/>
    <w:rsid w:val="7DA66189"/>
    <w:rsid w:val="7E6F2994"/>
    <w:rsid w:val="7E9D5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2276</Words>
  <Characters>2531</Characters>
  <Lines>1</Lines>
  <Paragraphs>1</Paragraphs>
  <TotalTime>207</TotalTime>
  <ScaleCrop>false</ScaleCrop>
  <LinksUpToDate>false</LinksUpToDate>
  <CharactersWithSpaces>2699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2021-03-20T03:37:00Z</cp:lastPrinted>
  <dcterms:modified xsi:type="dcterms:W3CDTF">2021-05-17T05:19:19Z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