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ind w:firstLine="3120" w:firstLineChars="600"/>
        <w:jc w:val="both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焦作市殡仪馆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52"/>
          <w:szCs w:val="52"/>
        </w:rPr>
        <w:t>20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21</w:t>
      </w:r>
      <w:r>
        <w:rPr>
          <w:rFonts w:hint="eastAsia" w:ascii="黑体" w:hAnsi="黑体" w:eastAsia="黑体" w:cs="黑体"/>
          <w:sz w:val="52"/>
          <w:szCs w:val="52"/>
        </w:rPr>
        <w:t>年度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单位预</w:t>
      </w:r>
      <w:r>
        <w:rPr>
          <w:rFonts w:hint="eastAsia" w:ascii="黑体" w:hAnsi="黑体" w:eastAsia="黑体" w:cs="黑体"/>
          <w:sz w:val="52"/>
          <w:szCs w:val="52"/>
        </w:rPr>
        <w:t>算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2005" w:rightChars="0" w:firstLine="1560" w:firstLineChars="30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二0二一年三月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960" w:firstLineChars="900"/>
        <w:jc w:val="both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3960" w:firstLineChars="900"/>
        <w:jc w:val="both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3569" w:firstLine="643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第一部分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 焦作市殡仪馆2021年单位预算情况说明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焦作市殡仪馆2021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一、收支总体情况表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九、国有资本经营预算收支情况表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十、机关运行经费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十一、单位整体绩效目标表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十二、项目（政策）绩效目标表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ind w:right="51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机构设置情况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00" w:firstLineChars="25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焦作市殡仪馆隶属焦作市民政局管理，为自收自支事业单位。单位内设业务科、回燃科、接运车队、办公室、财务科、后勤保障科、监督科共七个科室。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480" w:firstLineChars="1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单位职责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="315" w:leftChars="150" w:right="0" w:rightChars="0" w:firstLine="473" w:firstLineChars="148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焦作市殡仪馆的主要工作职责为承担全市亡故人员的遗体接运、冷藏、火化、骨灰寄存等殡仪服务，满足人民群众的治丧需求。</w:t>
      </w:r>
    </w:p>
    <w:p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left="0" w:leftChars="0" w:right="3569" w:firstLine="640" w:firstLineChars="20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预算构成</w:t>
      </w:r>
    </w:p>
    <w:p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Chars="200" w:right="605" w:rightChars="0"/>
        <w:jc w:val="left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焦作市殡仪馆预算单位为本级事业单位预算。</w:t>
      </w:r>
    </w:p>
    <w:p>
      <w:pPr>
        <w:widowControl/>
        <w:shd w:val="clear" w:color="auto" w:fill="FFFFFF"/>
        <w:spacing w:line="450" w:lineRule="atLeast"/>
        <w:ind w:firstLine="3526" w:firstLineChars="11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526" w:firstLineChars="110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3855" w:firstLineChars="1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焦作市殡仪馆2021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预算情况说明</w:t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加大殡葬宣传，拓展服务项目增加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非税收入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万元;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50.1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531.47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49.9%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主要原因：加大殡葬宣传，拓展服务项目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非税收入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47.1万元。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政府性基金收支增加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0%,本年未拨付该项资金。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%；国防支出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%；教育支出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%；科学技术支出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%；文化体育与传媒支出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1030.76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96.77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%；医疗卫生与计划生育支出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%；农林水支出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六、一般公共预算基本支出预算情况说明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533.63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bCs w:val="0"/>
          <w:spacing w:val="-1"/>
          <w:kern w:val="0"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b/>
          <w:bCs w:val="0"/>
          <w:spacing w:val="-1"/>
          <w:kern w:val="0"/>
          <w:sz w:val="32"/>
          <w:szCs w:val="32"/>
          <w:lang w:val="en-US" w:eastAsia="zh-CN"/>
        </w:rPr>
        <w:t>519.8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13.83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，主要包括：办公费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、印刷费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、咨询费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、手续费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、邮电费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、取暖费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、差旅费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、因公出国（境）费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、培训费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1.26万元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0.13万元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、其他商品和服务支出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1.5万元、离退休公用经费1.44万元。</w:t>
      </w:r>
    </w:p>
    <w:p>
      <w:pPr>
        <w:numPr>
          <w:ilvl w:val="0"/>
          <w:numId w:val="0"/>
        </w:num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“三公”经费支出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情况说明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比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0万元。预算数比2020年增加0万元，增长0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，主要原因：我单位无此项支出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leftChars="0" w:firstLine="639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  <w:lang w:val="en-US" w:eastAsia="zh-CN"/>
        </w:rPr>
        <w:t xml:space="preserve"> 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。其中公务车辆购置费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，主要用于接运遗体，比2020年增加30万元，较上年增长0%，主要原因：上年无购车计划，现有接运遗体车辆老化，今年需购置2辆接遗体车辆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主要用于公务车辆的维修、燃料费、过路过桥费、保险及其他费用,比2020年增加0万元，较上年增长0%，主要原因：加强车辆管理，控制维修费和燃料费用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39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  <w:lang w:val="en-US" w:eastAsia="zh-CN"/>
        </w:rPr>
        <w:t xml:space="preserve"> 0.13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主要用于同行业业务交流招待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2020年预算数增加0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0%，主要原因为严格招待程序，尽量减少招待人次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ind w:firstLine="622"/>
        <w:jc w:val="left"/>
        <w:rPr>
          <w:rFonts w:hint="default" w:ascii="仿宋_GB2312" w:hAnsi="仿宋_GB2312" w:eastAsia="仿宋_GB2312" w:cs="仿宋_GB2312"/>
          <w:color w:val="FF0000"/>
          <w:kern w:val="0"/>
          <w:sz w:val="32"/>
          <w:szCs w:val="32"/>
          <w:u w:val="none"/>
          <w:lang w:val="en-US"/>
        </w:rPr>
      </w:pPr>
    </w:p>
    <w:p>
      <w:pPr>
        <w:spacing w:line="56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政府性基金预算支出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焦作市殡仪馆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年没有使用政府性基金预算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拨款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有资本经营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算情况说明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焦作市殡仪馆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年没有使用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国有资本经营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预算拨款安排的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pacing w:val="-1"/>
          <w:kern w:val="0"/>
          <w:sz w:val="32"/>
          <w:szCs w:val="32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机关运行经费支出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万元，主要保障机关机构正常运转及正常履职需要的办公费、水电费、物业费、维修费、差旅费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、公务用车维护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2020年增加35.86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，主要原因：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2020年机关运行经费不含公务用车维护费，2021年机关运行经费包含公务用车维护费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年政府采购预算安排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（三）关于预算绩效管理工作开展情况说明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年,我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个项目进行了预算绩效评价，涉及资金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528.05万元。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,我单位纳入预算绩效管理的支出总额为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1065.1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万元，其中人员经费支出519.8万元，公用经费支出13.83万元，支出项目共7个，支出总额531.47万元。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其中预算支出100万元及100万元以上项目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，支出总额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年期末，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我单位固定资产总额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1096.03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万元，其中，房屋建筑物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290.83万元，车辆142.51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,专用设备484.61万元，通用设备92.89万元，家具、用具12.37万元，无形资产72.82万元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辆，执法执勤车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殡葬业务车辆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台，单位价值100万元以上专用设备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widowControl/>
        <w:ind w:firstLine="964" w:firstLineChars="3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我单位无此支付项目。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关于预算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财政预算公开要求，将单位全部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、“三公”经费：是指纳入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机关运行经费</w:t>
      </w:r>
      <w:r>
        <w:rPr>
          <w:rFonts w:hint="eastAsia" w:ascii="仿宋_GB2312" w:hAnsi="宋体" w:eastAsia="仿宋_GB2312" w:cs="Courier New"/>
          <w:sz w:val="32"/>
          <w:szCs w:val="32"/>
        </w:rPr>
        <w:t>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日常维修、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物业费、维修费、差旅费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八、惠民殡葬政策免除基本服务费：根据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焦作市人民政府办公室关于焦作市城区免除基本服务费的通知》焦政办（2013)17号文件要求，免除城区亡故人员遗体接运费、平板火化炉火化费、3天遗体冷藏费、1年骨灰寄存费共四项基本服务费，免除费用由财政定额补助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焦作市殡仪馆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/>
    <w:p/>
    <w:p/>
    <w:p/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82DA83"/>
    <w:multiLevelType w:val="singleLevel"/>
    <w:tmpl w:val="6182DA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2FjOGJmMjUxNDViNDk0YzliYzMyYmU2OWVjOTMifQ=="/>
  </w:docVars>
  <w:rsids>
    <w:rsidRoot w:val="0D4D1196"/>
    <w:rsid w:val="0D4D1196"/>
    <w:rsid w:val="0FE41EE2"/>
    <w:rsid w:val="30994D63"/>
    <w:rsid w:val="3DFC6720"/>
    <w:rsid w:val="3E774545"/>
    <w:rsid w:val="42730828"/>
    <w:rsid w:val="6ED915DF"/>
    <w:rsid w:val="78E8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2821</Words>
  <Characters>3156</Characters>
  <Lines>0</Lines>
  <Paragraphs>0</Paragraphs>
  <TotalTime>197</TotalTime>
  <ScaleCrop>false</ScaleCrop>
  <LinksUpToDate>false</LinksUpToDate>
  <CharactersWithSpaces>3193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2021-03-18T03:41:00Z</dcterms:created>
  <dc:creator>Administrator</dc:creator>
  <cp:lastModifiedBy>Administrator</cp:lastModifiedBy>
  <dcterms:modified xsi:type="dcterms:W3CDTF">2022-08-26T09:49:27Z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FFCFDE97D7C54290AE9EFD96E2991D38</vt:lpwstr>
  </property>
</Properties>
</file>