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2"/>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62号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关于开展养老护理员职业能力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提升培训的通知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各县（市）区民政局、市城乡一体化示范区民政和退役军人事务局：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快全市养老服务人才队伍建设，不断提升养老护理人员职业素养和服务技能，根据省民政厅、省人力资源社会保障厅、省财政厅《河南省养老护理员职业能力提升实施方案》和《焦作市人力资源和社会保障局、焦作市民政局、焦作市财政局、焦作市商务局、焦作市妇女联合会关于印发焦作市康养职业技能培训计划（2020-2022年）的通知》，现将今年养老服务职业能力提升相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全市康养服务从业人员培训总任务为3000人，其中老年社会工作者210人。市本级2021年培训任务450人（含老年社会工作者40人）。沁阳市、孟州市、博爱县、武陟县、修武县、温县2021年培训任务均为300人（均含老年社会工作者20人），解放区、山阳区、中站区、马村区、示范区培训任务均为150人（均含老年社会工作者10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（一）培训对象范围。</w:t>
      </w:r>
      <w:r>
        <w:rPr>
          <w:rFonts w:hint="eastAsia" w:ascii="仿宋" w:hAnsi="仿宋" w:eastAsia="仿宋" w:cs="仿宋"/>
          <w:sz w:val="32"/>
          <w:szCs w:val="32"/>
          <w:lang w:val="en-US" w:eastAsia="zh-CN"/>
        </w:rPr>
        <w:t>坚持以切实提高职业技能水平为目的，重点面向养老机构在岗工作人员（含敬老院、养老院、城市老年人日间照料中心、农村互助养老设施）、老年社会工作者及就业重点群体中有意向从事养老服务工作的人员开展培训。参训人员年龄16岁-60岁（不含60整岁）。各县(市)区民政局组织培训报名，制定培训计划，督促参加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楷体" w:hAnsi="楷体" w:eastAsia="楷体" w:cs="楷体"/>
          <w:sz w:val="32"/>
          <w:szCs w:val="32"/>
          <w:lang w:val="en-US" w:eastAsia="zh-CN"/>
        </w:rPr>
        <w:t>二）培训内容。</w:t>
      </w:r>
      <w:r>
        <w:rPr>
          <w:rFonts w:hint="eastAsia" w:ascii="仿宋" w:hAnsi="仿宋" w:eastAsia="仿宋" w:cs="仿宋"/>
          <w:sz w:val="32"/>
          <w:szCs w:val="32"/>
          <w:lang w:val="en-US" w:eastAsia="zh-CN"/>
        </w:rPr>
        <w:t>以人力资源社会保障部办公厅、民政部办公厅印发的《养老护理员国家职业技能标准（2019年版）》为指导，开展理论知识和技能实操培训。在落实培训标准的基础上，增加社会工作应急管理、疫情防控、专项照护、文化养老、老年人健康管理等符合养老服务发展要求的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（三）承接培训机构。</w:t>
      </w:r>
      <w:r>
        <w:rPr>
          <w:rFonts w:hint="eastAsia" w:ascii="仿宋" w:hAnsi="仿宋" w:eastAsia="仿宋" w:cs="仿宋"/>
          <w:sz w:val="32"/>
          <w:szCs w:val="32"/>
          <w:lang w:val="en-US" w:eastAsia="zh-CN"/>
        </w:rPr>
        <w:t>市民政局将纳入市人力资源和社会保障局年度补贴性职业技能提升行动目录清单的培训院校和机构中具有养老护理员培训资质名单进行梳理。请按各县（市）区民政局按照属地就近组织培训报名，制订培训计划，督促参加培训。对于辖区内没有培训资质机构的，可以在全市范围内选择培训机构就近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（四）完成时限。</w:t>
      </w:r>
      <w:r>
        <w:rPr>
          <w:rFonts w:hint="eastAsia" w:ascii="仿宋" w:hAnsi="仿宋" w:eastAsia="仿宋" w:cs="仿宋"/>
          <w:sz w:val="32"/>
          <w:szCs w:val="32"/>
          <w:lang w:val="en-US" w:eastAsia="zh-CN"/>
        </w:rPr>
        <w:t>2021年7月15日之前完成培训任务的，市人力资源和社会保障局按规定给予培训院校和机构培训补贴。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（五）强化组织领导。</w:t>
      </w:r>
      <w:r>
        <w:rPr>
          <w:rFonts w:hint="eastAsia" w:ascii="仿宋" w:hAnsi="仿宋" w:eastAsia="仿宋" w:cs="仿宋"/>
          <w:sz w:val="32"/>
          <w:szCs w:val="32"/>
          <w:lang w:val="en-US" w:eastAsia="zh-CN"/>
        </w:rPr>
        <w:t>省民政厅、焦作市民政局已将养老护理员职业技能培训纳入年度重点工作。各县（市）区民政局要与当地人力资源和社会保障部门加强联系，协调配合，共同做好培训工作。民政部门负责人员组织和政策宣传，人力资源和社会保障部门负责按规定落实补贴鼓励政策，确保养老护理人员职业技能提升政策全面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（六）强化技能训练。</w:t>
      </w:r>
      <w:r>
        <w:rPr>
          <w:rFonts w:hint="eastAsia" w:ascii="仿宋" w:hAnsi="仿宋" w:eastAsia="仿宋" w:cs="仿宋"/>
          <w:sz w:val="32"/>
          <w:szCs w:val="32"/>
          <w:lang w:val="en-US" w:eastAsia="zh-CN"/>
        </w:rPr>
        <w:t>培训内容应严格按照国家职业技能标准进行，强化实际操作技能训练、综合职业素质培养。培训中实际操作技能培训时长不低于当班总课时的65%。加强失能失智老年人照护、饮食起居照料、康复护理服务等方面的岗位技能培训，提升从业人员职业技能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（七）强化政策宣传。</w:t>
      </w:r>
      <w:r>
        <w:rPr>
          <w:rFonts w:hint="eastAsia" w:ascii="仿宋" w:hAnsi="仿宋" w:eastAsia="仿宋" w:cs="仿宋"/>
          <w:sz w:val="32"/>
          <w:szCs w:val="32"/>
          <w:lang w:val="en-US" w:eastAsia="zh-CN"/>
        </w:rPr>
        <w:t>各县（市）区要采取多种方式扩大养老服务培训政策社会知晓度和覆盖面，提升符合条件人员参训意愿，为养老服务行业提供优质人力资源。充分利用媒体，选树先进典型，不断增强养老服务从业人员职业荣誉感和岗位吸引力，鼓励引导更多劳动者参与养老服务行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附件：焦作市养老护理员职业能力提升培训机构名单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2021年5月11日</w:t>
      </w: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rPr>
          <w:rFonts w:hint="eastAsia" w:ascii="黑体" w:hAnsi="黑体" w:eastAsia="黑体" w:cs="黑体"/>
          <w:sz w:val="32"/>
          <w:szCs w:val="32"/>
          <w:lang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焦作市养老护理员职业能力提升培训推荐名单</w:t>
      </w:r>
    </w:p>
    <w:tbl>
      <w:tblPr>
        <w:tblStyle w:val="5"/>
        <w:tblpPr w:leftFromText="180" w:rightFromText="180" w:vertAnchor="text" w:horzAnchor="page" w:tblpX="1573" w:tblpY="290"/>
        <w:tblOverlap w:val="never"/>
        <w:tblW w:w="9145" w:type="dxa"/>
        <w:tblInd w:w="0" w:type="dxa"/>
        <w:shd w:val="clear" w:color="auto" w:fill="auto"/>
        <w:tblLayout w:type="fixed"/>
        <w:tblCellMar>
          <w:top w:w="0" w:type="dxa"/>
          <w:left w:w="0" w:type="dxa"/>
          <w:bottom w:w="0" w:type="dxa"/>
          <w:right w:w="0" w:type="dxa"/>
        </w:tblCellMar>
      </w:tblPr>
      <w:tblGrid>
        <w:gridCol w:w="656"/>
        <w:gridCol w:w="806"/>
        <w:gridCol w:w="3204"/>
        <w:gridCol w:w="2964"/>
        <w:gridCol w:w="1515"/>
      </w:tblGrid>
      <w:tr>
        <w:tblPrEx>
          <w:shd w:val="clear" w:color="auto" w:fill="auto"/>
          <w:tblCellMar>
            <w:top w:w="0" w:type="dxa"/>
            <w:left w:w="0" w:type="dxa"/>
            <w:bottom w:w="0" w:type="dxa"/>
            <w:right w:w="0" w:type="dxa"/>
          </w:tblCellMar>
        </w:tblPrEx>
        <w:trPr>
          <w:trHeight w:val="54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学校名称</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学校地址</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招生电话</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焦作市宏业职业技能培训学校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焦作市岭南路焦煤党校内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13103995027</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焦作市鑫诚职业培训学校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解放西路78号辉龙花园1号楼</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13938187670</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焦作市金凤家政服务培训中心</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焦作市青年路99号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13523204614</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焦作市睿杰职业培训中心</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焦作市院校路2号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13703895206</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山阳区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焦作市时代职业技能培训学校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焦作市焦东路1152号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15938187666</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马村区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焦作市鑫达职业培训学校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焦作市焦东北路21号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15838989578</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示范区</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焦作市永威职业培训学校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焦作市示范区世纪大道与怀庆路交叉口</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13203960777</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武陟县 </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武陟县万达职业培训学校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木城街道西苑大道</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13803918841</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沁阳市</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沁阳市康贝尔职业培训学校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沁阳市教师进修学校院内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15517778797</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沁阳市</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焦作市沁阳市劳动就业培训中心</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焦作市沁阳市城北路16号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13569123999</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  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温县黄河职业技术培训学校</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焦作市温县司马大街顺风汽贸院内</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5239028285</w:t>
            </w:r>
          </w:p>
        </w:tc>
      </w:tr>
      <w:tr>
        <w:tblPrEx>
          <w:tblCellMar>
            <w:top w:w="0" w:type="dxa"/>
            <w:left w:w="0" w:type="dxa"/>
            <w:bottom w:w="0" w:type="dxa"/>
            <w:right w:w="0" w:type="dxa"/>
          </w:tblCellMar>
        </w:tblPrEx>
        <w:trPr>
          <w:trHeight w:val="74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修武县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焦作市修武县劳动就业培训中心</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焦作市修武县竹林大道南段路西</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15838961108</w:t>
            </w:r>
          </w:p>
        </w:tc>
      </w:tr>
      <w:tr>
        <w:tblPrEx>
          <w:tblCellMar>
            <w:top w:w="0" w:type="dxa"/>
            <w:left w:w="0" w:type="dxa"/>
            <w:bottom w:w="0" w:type="dxa"/>
            <w:right w:w="0" w:type="dxa"/>
          </w:tblCellMar>
        </w:tblPrEx>
        <w:trPr>
          <w:trHeight w:val="764"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博爱县</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焦作市博爱县劳动就业服务中心</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焦作市博爱县发展大道电商大厦C座203室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0391-8683849</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sz w:val="44"/>
          <w:szCs w:val="44"/>
          <w:lang w:val="en-US" w:eastAsia="zh-CN"/>
        </w:rPr>
      </w:pPr>
      <w:r>
        <w:rPr>
          <w:b w:val="0"/>
          <w:bCs w:val="0"/>
          <w:sz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449580</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5.4pt;height:0.05pt;width:439.5pt;z-index:251658240;mso-width-relative:page;mso-height-relative:page;" filled="f" stroked="t" coordsize="21600,21600" o:gfxdata="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aMLTTAAAABgEAAA8AAAAA&#10;AAAAAQAgAAAAIgAAAGRycy9kb3ducmV2LnhtbFBLAQIUABQAAAAIAIdO4kCSWi4R4AEAAKYDAAAO&#10;AAAAAAAAAAEAIAAAACIBAABkcnMvZTJvRG9jLnhtbFBLBQYAAAAABgAGAFkBAAB0BQAAAAA=&#10;">
                <v:fill on="f" focussize="0,0"/>
                <v:stroke color="#000000" joinstyle="round"/>
                <v:imagedata o:title=""/>
                <o:lock v:ext="edit" aspectratio="f"/>
              </v:line>
            </w:pict>
          </mc:Fallback>
        </mc:AlternateContent>
      </w: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65pt;height:0.05pt;width:439.5pt;z-index:251659264;mso-width-relative:page;mso-height-relative:page;" filled="f" stroked="t" coordsize="21600,21600" o:gfxdata="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zZaGDTAAAABQEAAA8AAAAA&#10;AAAAAQAgAAAAIgAAAGRycy9kb3ducmV2LnhtbFBLAQIUABQAAAAIAIdO4kCSmP0p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0"/>
          <w:sz w:val="28"/>
          <w:szCs w:val="28"/>
          <w:lang w:val="en-US" w:eastAsia="zh-CN"/>
        </w:rPr>
        <w:t>焦作市民政局</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仿宋_GB2312" w:hAnsi="仿宋_GB2312" w:eastAsia="仿宋_GB2312" w:cs="仿宋_GB2312"/>
          <w:b w:val="0"/>
          <w:bCs w:val="0"/>
          <w:color w:val="000000"/>
          <w:spacing w:val="0"/>
          <w:sz w:val="28"/>
          <w:szCs w:val="28"/>
        </w:rPr>
        <w:t xml:space="preserve">  202</w:t>
      </w:r>
      <w:r>
        <w:rPr>
          <w:rFonts w:hint="eastAsia" w:ascii="仿宋_GB2312" w:hAnsi="仿宋_GB2312" w:eastAsia="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年</w:t>
      </w:r>
      <w:r>
        <w:rPr>
          <w:rFonts w:hint="eastAsia" w:ascii="仿宋_GB2312" w:hAnsi="仿宋_GB2312" w:eastAsia="仿宋_GB2312" w:cs="仿宋_GB2312"/>
          <w:b w:val="0"/>
          <w:bCs w:val="0"/>
          <w:color w:val="000000"/>
          <w:spacing w:val="0"/>
          <w:sz w:val="28"/>
          <w:szCs w:val="28"/>
          <w:lang w:val="en-US" w:eastAsia="zh-CN"/>
        </w:rPr>
        <w:t>5</w:t>
      </w:r>
      <w:r>
        <w:rPr>
          <w:rFonts w:hint="eastAsia" w:ascii="仿宋_GB2312" w:hAnsi="仿宋_GB2312" w:eastAsia="仿宋_GB2312" w:cs="仿宋_GB2312"/>
          <w:b w:val="0"/>
          <w:bCs w:val="0"/>
          <w:color w:val="000000"/>
          <w:spacing w:val="0"/>
          <w:sz w:val="28"/>
          <w:szCs w:val="28"/>
        </w:rPr>
        <w:t>月</w:t>
      </w:r>
      <w:r>
        <w:rPr>
          <w:rFonts w:hint="eastAsia" w:ascii="仿宋_GB2312" w:hAnsi="仿宋_GB2312" w:eastAsia="仿宋_GB2312" w:cs="仿宋_GB2312"/>
          <w:b w:val="0"/>
          <w:bCs w:val="0"/>
          <w:color w:val="000000"/>
          <w:spacing w:val="0"/>
          <w:sz w:val="28"/>
          <w:szCs w:val="28"/>
          <w:lang w:val="en-US" w:eastAsia="zh-CN"/>
        </w:rPr>
        <w:t>11</w:t>
      </w:r>
      <w:r>
        <w:rPr>
          <w:rFonts w:hint="eastAsia" w:ascii="仿宋_GB2312" w:hAnsi="仿宋_GB2312" w:eastAsia="仿宋_GB2312" w:cs="仿宋_GB2312"/>
          <w:b w:val="0"/>
          <w:bCs w:val="0"/>
          <w:color w:val="000000"/>
          <w:spacing w:val="0"/>
          <w:sz w:val="28"/>
          <w:szCs w:val="28"/>
        </w:rPr>
        <w:t>日印</w:t>
      </w:r>
      <w:r>
        <w:rPr>
          <w:rFonts w:hint="eastAsia" w:ascii="仿宋_GB2312" w:hAnsi="仿宋_GB2312" w:eastAsia="仿宋_GB2312" w:cs="仿宋_GB2312"/>
          <w:b w:val="0"/>
          <w:bCs w:val="0"/>
          <w:color w:val="000000"/>
          <w:spacing w:val="0"/>
          <w:sz w:val="28"/>
          <w:szCs w:val="28"/>
          <w:lang w:eastAsia="zh-CN"/>
        </w:rPr>
        <w:t>发</w:t>
      </w:r>
    </w:p>
    <w:sectPr>
      <w:footerReference r:id="rId3" w:type="default"/>
      <w:pgSz w:w="11906" w:h="16838"/>
      <w:pgMar w:top="1531" w:right="170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65DC"/>
    <w:multiLevelType w:val="singleLevel"/>
    <w:tmpl w:val="1ABF65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B538B"/>
    <w:rsid w:val="01464133"/>
    <w:rsid w:val="0D587912"/>
    <w:rsid w:val="22D619FD"/>
    <w:rsid w:val="231A3745"/>
    <w:rsid w:val="2E445A4B"/>
    <w:rsid w:val="39664C4C"/>
    <w:rsid w:val="55FB538B"/>
    <w:rsid w:val="58664915"/>
    <w:rsid w:val="5C25574F"/>
    <w:rsid w:val="72E8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center"/>
    </w:pPr>
    <w:rPr>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2021-05-11T07:00:00Z</dcterms:created>
  <dc:creator>不二</dc:creator>
  <cp:lastModifiedBy>Administrator</cp:lastModifiedBy>
  <cp:lastPrinted>2021-05-12T09:03:24Z</cp:lastPrinted>
  <dcterms:modified xsi:type="dcterms:W3CDTF">2021-05-12T09:03:36Z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F904DB435DFB4B818901137B87624776</vt:lpwstr>
  </property>
</Properties>
</file>